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218115" cy="8183879"/>
            <wp:docPr id="1" name="Picture 1"/>
            <wp:cNvGraphicFramePr>
              <a:graphicFrameLocks noChangeAspect="1"/>
            </wp:cNvGraphicFramePr>
            <a:graphic>
              <a:graphicData uri="http://schemas.openxmlformats.org/drawingml/2006/picture">
                <pic:pic>
                  <pic:nvPicPr>
                    <pic:cNvPr id="0" name="Indian_for_All_cover_final.png"/>
                    <pic:cNvPicPr/>
                  </pic:nvPicPr>
                  <pic:blipFill>
                    <a:blip r:embed="rId10"/>
                    <a:stretch>
                      <a:fillRect/>
                    </a:stretch>
                  </pic:blipFill>
                  <pic:spPr>
                    <a:xfrm>
                      <a:off x="0" y="0"/>
                      <a:ext cx="5218115" cy="8183879"/>
                    </a:xfrm>
                    <a:prstGeom prst="rect"/>
                  </pic:spPr>
                </pic:pic>
              </a:graphicData>
            </a:graphic>
          </wp:inline>
        </w:drawing>
      </w:r>
    </w:p>
    <w:p>
      <w:pPr>
        <w:spacing w:before="0" w:after="0"/>
      </w:pPr>
      <w:r>
        <w:br w:type="page"/>
      </w:r>
    </w:p>
    <w:p/>
    <w:p/>
    <w:p/>
    <w:p>
      <w:pPr>
        <w:pStyle w:val="Title"/>
        <w:jc w:val="center"/>
      </w:pPr>
      <w:r>
        <w:t>Indian for All</w:t>
      </w:r>
    </w:p>
    <w:p>
      <w:pPr>
        <w:pStyle w:val="Subtitle"/>
        <w:jc w:val="center"/>
      </w:pPr>
      <w:r>
        <w:t>Decolonizing Indigenous Education in Public Schools</w:t>
      </w:r>
    </w:p>
    <w:p>
      <w:pPr>
        <w:jc w:val="center"/>
      </w:pPr>
      <w:r>
        <w:t>Version 1.1 (2026)</w:t>
      </w:r>
    </w:p>
    <w:p/>
    <w:p>
      <w:pPr>
        <w:jc w:val="center"/>
      </w:pPr>
      <w:r>
        <w:rPr>
          <w:sz w:val="24"/>
        </w:rPr>
        <w:t>Written and Compiled by</w:t>
        <w:br/>
        <w:t>Steven Bullcoming Haworth</w:t>
      </w:r>
    </w:p>
    <w:p>
      <w:pPr>
        <w:jc w:val="center"/>
      </w:pPr>
      <w:r>
        <w:rPr>
          <w:sz w:val="22"/>
        </w:rPr>
        <w:t>Collaborator: Corry Bullcoming</w:t>
      </w:r>
    </w:p>
    <w:p/>
    <w:p/>
    <w:p/>
    <w:p/>
    <w:p/>
    <w:p/>
    <w:p/>
    <w:p>
      <w:pPr>
        <w:jc w:val="center"/>
      </w:pPr>
      <w:r>
        <w:rPr>
          <w:i/>
          <w:sz w:val="20"/>
        </w:rPr>
        <w:t>Copyright © 2026 Steven Bullcoming Haworth &amp; Corry Bullcoming. All rights reserved.</w:t>
      </w:r>
    </w:p>
    <w:p>
      <w:r>
        <w:br w:type="page"/>
      </w:r>
    </w:p>
    <w:p>
      <w:pPr>
        <w:pStyle w:val="Heading1"/>
      </w:pPr>
      <w:r>
        <w:t>About the Cover Art</w:t>
      </w:r>
    </w:p>
    <w:p>
      <w:pPr>
        <w:pStyle w:val="BodyText"/>
      </w:pPr>
      <w:r>
        <w:t>The cover art centers Native endurance under colonization rather than colonial figures themselves. It was designed to keep Indigenous identity, survival, and learning in the foreground while showing the atmosphere of boarding-school pressure, forced assimilation, cultural destruction, and historical loss in the background. The image is meant to support the booklet’s focus on Native peoples, the harms of colonial systems, and the ongoing work of education, remembrance, and survival. Cover image copyright: © 2026 Bullcoming Enterprises. All rights reserved.</w:t>
      </w:r>
    </w:p>
    <w:p>
      <w:pPr>
        <w:pStyle w:val="Heading1"/>
      </w:pPr>
      <w:r>
        <w:t>Publication &amp; Licensing Information</w:t>
      </w:r>
    </w:p>
    <w:p>
      <w:pPr>
        <w:pStyle w:val="BodyText"/>
      </w:pPr>
      <w:r>
        <w:t>This booklet is an independently created educational resource compiled from open-access, public-domain, and properly licensed materials, together with original commentary, study questions, and instructional content. It is not a reproduction of any single copyrighted book or publisher edition.</w:t>
      </w:r>
    </w:p>
    <w:p>
      <w:pPr>
        <w:pStyle w:val="BodyText"/>
      </w:pPr>
      <w:r>
        <w:t>Suggested License: Creative Commons Attribution 4.0 International (CC BY 4.0). You are free to share and adapt this material for any purpose, provided you give appropriate credit to the author, indicate if changes were made, and do not imply endorsement.</w:t>
      </w:r>
    </w:p>
    <w:p>
      <w:pPr>
        <w:pStyle w:val="BodyText"/>
      </w:pPr>
      <w:r>
        <w:t>Recommended attribution: Steven Bullcoming Haworth, Indian for All: Decolonizing Indigenous Education in Public Schools, Version 1.1 (2026).</w:t>
      </w:r>
    </w:p>
    <w:p>
      <w:pPr>
        <w:pStyle w:val="BodyText"/>
      </w:pPr>
      <w:r>
        <w:rPr>
          <w:b/>
        </w:rPr>
        <w:t xml:space="preserve">Document details: </w:t>
      </w:r>
      <w:r>
        <w:t>Prepared for booklet-style educational use in classrooms, teacher preparation programs, school planning, and community discussion settings.</w:t>
      </w:r>
    </w:p>
    <w:p>
      <w:r>
        <w:br w:type="page"/>
      </w:r>
    </w:p>
    <w:p>
      <w:pPr>
        <w:pStyle w:val="Heading1"/>
      </w:pPr>
      <w:r>
        <w:t>Table of Contents</w:t>
      </w:r>
    </w:p>
    <w:p>
      <w:pPr>
        <w:pStyle w:val="BodyText"/>
        <w:spacing w:after="40"/>
        <w:ind w:left="288"/>
      </w:pPr>
      <w:r>
        <w:t>How to Use This Booklet</w:t>
      </w:r>
    </w:p>
    <w:p>
      <w:pPr>
        <w:pStyle w:val="BodyText"/>
        <w:spacing w:after="40"/>
        <w:ind w:left="288"/>
      </w:pPr>
      <w:r>
        <w:t>1. Introduction</w:t>
      </w:r>
    </w:p>
    <w:p>
      <w:pPr>
        <w:pStyle w:val="BodyText"/>
        <w:spacing w:after="40"/>
        <w:ind w:left="288"/>
      </w:pPr>
      <w:r>
        <w:t>2. What Indian Education Means in Public Schools</w:t>
      </w:r>
    </w:p>
    <w:p>
      <w:pPr>
        <w:pStyle w:val="BodyText"/>
        <w:spacing w:after="40"/>
        <w:ind w:left="288"/>
      </w:pPr>
      <w:r>
        <w:t>3. Historical Background and Educational Context</w:t>
      </w:r>
    </w:p>
    <w:p>
      <w:pPr>
        <w:pStyle w:val="BodyText"/>
        <w:spacing w:after="40"/>
        <w:ind w:left="288"/>
      </w:pPr>
      <w:r>
        <w:t>4. Why Decolonizing Education Matters</w:t>
      </w:r>
    </w:p>
    <w:p>
      <w:pPr>
        <w:pStyle w:val="BodyText"/>
        <w:spacing w:after="40"/>
        <w:ind w:left="288"/>
      </w:pPr>
      <w:r>
        <w:t>5. Indigenous Knowledge, Community, and Identity</w:t>
      </w:r>
    </w:p>
    <w:p>
      <w:pPr>
        <w:pStyle w:val="BodyText"/>
        <w:spacing w:after="40"/>
        <w:ind w:left="288"/>
      </w:pPr>
      <w:r>
        <w:t>6. Public Schools and Cultural Responsibility</w:t>
      </w:r>
    </w:p>
    <w:p>
      <w:pPr>
        <w:pStyle w:val="BodyText"/>
        <w:spacing w:after="40"/>
        <w:ind w:left="288"/>
      </w:pPr>
      <w:r>
        <w:t>7. Teacher Preparation and Practice</w:t>
      </w:r>
    </w:p>
    <w:p>
      <w:pPr>
        <w:pStyle w:val="BodyText"/>
        <w:spacing w:after="40"/>
        <w:ind w:left="288"/>
      </w:pPr>
      <w:r>
        <w:t>8. Building Respectful and Inclusive Curriculum</w:t>
      </w:r>
    </w:p>
    <w:p>
      <w:pPr>
        <w:pStyle w:val="BodyText"/>
        <w:spacing w:after="40"/>
        <w:ind w:left="288"/>
      </w:pPr>
      <w:r>
        <w:t>9. Challenges, Barriers, and Opportunities</w:t>
      </w:r>
    </w:p>
    <w:p>
      <w:pPr>
        <w:pStyle w:val="BodyText"/>
        <w:spacing w:after="40"/>
        <w:ind w:left="288"/>
      </w:pPr>
      <w:r>
        <w:t>10. Local Tribal Context and Community Partnership</w:t>
      </w:r>
    </w:p>
    <w:p>
      <w:pPr>
        <w:pStyle w:val="BodyText"/>
        <w:spacing w:after="40"/>
        <w:ind w:left="288"/>
      </w:pPr>
      <w:r>
        <w:t>11. Common Mistakes to Avoid</w:t>
      </w:r>
    </w:p>
    <w:p>
      <w:pPr>
        <w:pStyle w:val="BodyText"/>
        <w:spacing w:after="40"/>
        <w:ind w:left="288"/>
      </w:pPr>
      <w:r>
        <w:t>12. Key Terms</w:t>
      </w:r>
    </w:p>
    <w:p>
      <w:pPr>
        <w:pStyle w:val="BodyText"/>
        <w:spacing w:after="40"/>
        <w:ind w:left="288"/>
      </w:pPr>
      <w:r>
        <w:t>13. Open Resource List</w:t>
      </w:r>
    </w:p>
    <w:p>
      <w:pPr>
        <w:pStyle w:val="BodyText"/>
        <w:spacing w:after="40"/>
        <w:ind w:left="288"/>
      </w:pPr>
      <w:r>
        <w:t>14. Sources and Further Reading</w:t>
      </w:r>
    </w:p>
    <w:p>
      <w:pPr>
        <w:pStyle w:val="BodyText"/>
        <w:spacing w:after="40"/>
        <w:ind w:left="288"/>
      </w:pPr>
      <w:r>
        <w:t>15. One-Page School Self-Assessment Checklist</w:t>
      </w:r>
    </w:p>
    <w:p>
      <w:pPr>
        <w:pStyle w:val="BodyText"/>
        <w:spacing w:after="40"/>
        <w:ind w:left="288"/>
      </w:pPr>
      <w:r>
        <w:t>16. Leading Questions for Study and Discussion</w:t>
      </w:r>
    </w:p>
    <w:p>
      <w:pPr>
        <w:pStyle w:val="BodyText"/>
        <w:spacing w:after="40"/>
        <w:ind w:left="288"/>
      </w:pPr>
      <w:r>
        <w:t>17. Conclusion</w:t>
      </w:r>
    </w:p>
    <w:p>
      <w:r>
        <w:br w:type="page"/>
      </w:r>
    </w:p>
    <w:p>
      <w:pPr>
        <w:pStyle w:val="Heading1"/>
      </w:pPr>
      <w:r>
        <w:t>How to Use This Booklet</w:t>
      </w:r>
    </w:p>
    <w:p>
      <w:pPr>
        <w:pStyle w:val="BodyText"/>
      </w:pPr>
      <w:r>
        <w:t>This booklet is designed for flexible use in multiple settings:</w:t>
      </w:r>
    </w:p>
    <w:p>
      <w:pPr>
        <w:pStyle w:val="BodyText"/>
        <w:ind w:left="360" w:hanging="259"/>
      </w:pPr>
      <w:r>
        <w:t xml:space="preserve">• </w:t>
      </w:r>
      <w:r>
        <w:t>Teacher professional development — Use chapters as discussion starters or study circle readings.</w:t>
      </w:r>
    </w:p>
    <w:p>
      <w:pPr>
        <w:pStyle w:val="BodyText"/>
        <w:ind w:left="360" w:hanging="259"/>
      </w:pPr>
      <w:r>
        <w:t xml:space="preserve">• </w:t>
      </w:r>
      <w:r>
        <w:t>School and district planning — Refer to the practical examples and checklists when designing curriculum or partnership policies.</w:t>
      </w:r>
    </w:p>
    <w:p>
      <w:pPr>
        <w:pStyle w:val="BodyText"/>
        <w:ind w:left="360" w:hanging="259"/>
      </w:pPr>
      <w:r>
        <w:t xml:space="preserve">• </w:t>
      </w:r>
      <w:r>
        <w:t>College and university courses — Assign chapters to future teachers, social workers, or administrators.</w:t>
      </w:r>
    </w:p>
    <w:p>
      <w:pPr>
        <w:pStyle w:val="BodyText"/>
        <w:ind w:left="360" w:hanging="259"/>
      </w:pPr>
      <w:r>
        <w:t xml:space="preserve">• </w:t>
      </w:r>
      <w:r>
        <w:t>Community and tribal education programs — Use the leading questions to guide workshops or talking circles.</w:t>
      </w:r>
    </w:p>
    <w:p>
      <w:pPr>
        <w:pStyle w:val="BodyText"/>
      </w:pPr>
      <w:r>
        <w:t>Each chapter stands alone, but the booklet reads best from start to finish. You may photocopy individual chapters for educational use as long as you follow the terms of the CC BY 4.0 license. The leading questions at the end of each chapter are meant for journaling, small group discussion, or full-class reflection.</w:t>
      </w:r>
    </w:p>
    <w:p>
      <w:pPr>
        <w:pStyle w:val="Heading1"/>
      </w:pPr>
      <w:r>
        <w:t>1. Introduction (Expanded)</w:t>
      </w:r>
    </w:p>
    <w:p>
      <w:pPr>
        <w:pStyle w:val="BodyText"/>
      </w:pPr>
      <w:r>
        <w:t>For generations, public schools in North America have taught Indigenous histories, cultures, and contemporary lives from a distance, often through textbooks written by outsiders, stereotypes, or brief “heritage months.” The result has been a curriculum that is often incomplete, sometimes inaccurate, and rarely respectful of Indigenous sovereignty and knowledge.</w:t>
      </w:r>
    </w:p>
    <w:p>
      <w:pPr>
        <w:pStyle w:val="Heading2"/>
      </w:pPr>
      <w:r>
        <w:t>A Note on Language</w:t>
      </w:r>
    </w:p>
    <w:p>
      <w:pPr>
        <w:pStyle w:val="BodyText"/>
      </w:pPr>
      <w:r>
        <w:t>The title of this booklet uses the word “Indian” because it appears in the names of many laws, policies, and programs, including the Indian Education Act, the Indian Self-Determination Act, and Indian Education for All. Throughout the text, more specific and respectful terms are generally preferred, such as Indigenous, Native, American Indian, tribal nation, or the name of a particular tribe whenever possible.</w:t>
      </w:r>
    </w:p>
    <w:p>
      <w:pPr>
        <w:pStyle w:val="BodyText"/>
      </w:pPr>
      <w:r>
        <w:t>When quoting historical documents or legal texts, the original terminology should be retained. This booklet acknowledges that “Indian” is a colonial label while also recognizing its continued legal and everyday usage within many Native communities.</w:t>
      </w:r>
    </w:p>
    <w:p>
      <w:pPr>
        <w:pStyle w:val="BodyText"/>
      </w:pPr>
      <w:r>
        <w:t>“Indian for All” is a principle that asks us to do better. It calls for every student, Indigenous and non-Indigenous alike, to learn about the First Peoples of this land in a way that is accurate, respectful, and integrated throughout the school year — not as a side note, but as a core part of what it means to be educated.</w:t>
      </w:r>
    </w:p>
    <w:p>
      <w:pPr>
        <w:pStyle w:val="Heading2"/>
      </w:pPr>
      <w:r>
        <w:t>Audience and Purpose</w:t>
      </w:r>
    </w:p>
    <w:p>
      <w:pPr>
        <w:pStyle w:val="BodyText"/>
      </w:pPr>
      <w:r>
        <w:t>This booklet is written for classroom teachers, school administrators, teacher preparation programs, tribal education departments, community members, and students who want an accessible foundation for thinking about decolonizing education and improving Indigenous representation in public schools.</w:t>
      </w:r>
    </w:p>
    <w:p>
      <w:pPr>
        <w:pStyle w:val="BodyText"/>
      </w:pPr>
      <w:r>
        <w:t>The purpose is not to prescribe a single “right way.” Tribal nations are diverse, and what works in one community may not work in another. Instead, this booklet provides principles, examples, and questions to guide each school’s unique journey.</w:t>
      </w:r>
    </w:p>
    <w:p>
      <w:pPr>
        <w:pStyle w:val="BodyText"/>
        <w:ind w:left="360" w:hanging="259"/>
      </w:pPr>
      <w:r>
        <w:t xml:space="preserve">• </w:t>
      </w:r>
      <w:r>
        <w:t>Classroom teachers who want to include Indigenous content but do not know where to start.</w:t>
      </w:r>
    </w:p>
    <w:p>
      <w:pPr>
        <w:pStyle w:val="BodyText"/>
        <w:ind w:left="360" w:hanging="259"/>
      </w:pPr>
      <w:r>
        <w:t xml:space="preserve">• </w:t>
      </w:r>
      <w:r>
        <w:t>School administrators responsible for curriculum, policy, and community relations.</w:t>
      </w:r>
    </w:p>
    <w:p>
      <w:pPr>
        <w:pStyle w:val="BodyText"/>
        <w:ind w:left="360" w:hanging="259"/>
      </w:pPr>
      <w:r>
        <w:t xml:space="preserve">• </w:t>
      </w:r>
      <w:r>
        <w:t>Teacher preparation programs seeking accessible materials on decolonizing education.</w:t>
      </w:r>
    </w:p>
    <w:p>
      <w:pPr>
        <w:pStyle w:val="BodyText"/>
        <w:ind w:left="360" w:hanging="259"/>
      </w:pPr>
      <w:r>
        <w:t xml:space="preserve">• </w:t>
      </w:r>
      <w:r>
        <w:t>Tribal education departments and community members working with local schools.</w:t>
      </w:r>
    </w:p>
    <w:p>
      <w:pPr>
        <w:pStyle w:val="BodyText"/>
        <w:ind w:left="360" w:hanging="259"/>
      </w:pPr>
      <w:r>
        <w:t xml:space="preserve">• </w:t>
      </w:r>
      <w:r>
        <w:t>Students studying education, Native American studies, or social justice.</w:t>
      </w:r>
    </w:p>
    <w:p>
      <w:pPr>
        <w:pStyle w:val="Heading2"/>
      </w:pPr>
      <w:r>
        <w:t>What This Booklet Is Not</w:t>
      </w:r>
    </w:p>
    <w:p>
      <w:pPr>
        <w:pStyle w:val="BodyText"/>
      </w:pPr>
      <w:r>
        <w:t>It is not a complete curriculum, a legal document, or a substitute for direct consultation with local tribes. It is a starting point — a tool to help readers ask better questions and take more informed action.</w:t>
      </w:r>
    </w:p>
    <w:p>
      <w:pPr>
        <w:pStyle w:val="Heading1"/>
      </w:pPr>
      <w:r>
        <w:t>2. What Indian Education Means in Public Schools</w:t>
      </w:r>
    </w:p>
    <w:p>
      <w:pPr>
        <w:pStyle w:val="BodyText"/>
      </w:pPr>
      <w:r>
        <w:t>Indian education in public schools goes far beyond a single lesson on the “First Thanksgiving” or a brief mention of the Trail of Tears. It means teaching accurate history, legal and political relationships, cultural continuity, sovereignty, and the diversity of Indigenous languages, traditions, and ways of knowing.</w:t>
      </w:r>
    </w:p>
    <w:p>
      <w:pPr>
        <w:pStyle w:val="BodyText"/>
      </w:pPr>
      <w:r>
        <w:t>“Indian for All” is not only for students who are Native. It is for everyone. When only Indigenous students learn Indigenous history, that history is treated as special interest. When all students learn it, it becomes part of a shared understanding of the country.</w:t>
      </w:r>
    </w:p>
    <w:p>
      <w:pPr>
        <w:pStyle w:val="BodyText"/>
        <w:ind w:left="360" w:hanging="259"/>
      </w:pPr>
      <w:r>
        <w:t xml:space="preserve">• </w:t>
      </w:r>
      <w:r>
        <w:t>The accurate history of Indigenous peoples before European contact.</w:t>
      </w:r>
    </w:p>
    <w:p>
      <w:pPr>
        <w:pStyle w:val="BodyText"/>
        <w:ind w:left="360" w:hanging="259"/>
      </w:pPr>
      <w:r>
        <w:t xml:space="preserve">• </w:t>
      </w:r>
      <w:r>
        <w:t>The legal and political relationships between tribes and federal or state governments.</w:t>
      </w:r>
    </w:p>
    <w:p>
      <w:pPr>
        <w:pStyle w:val="BodyText"/>
        <w:ind w:left="360" w:hanging="259"/>
      </w:pPr>
      <w:r>
        <w:t xml:space="preserve">• </w:t>
      </w:r>
      <w:r>
        <w:t>The ongoing cultural, economic, and social contributions of Indigenous communities.</w:t>
      </w:r>
    </w:p>
    <w:p>
      <w:pPr>
        <w:pStyle w:val="BodyText"/>
        <w:ind w:left="360" w:hanging="259"/>
      </w:pPr>
      <w:r>
        <w:t xml:space="preserve">• </w:t>
      </w:r>
      <w:r>
        <w:t>The sovereignty of tribal nations as distinct governments within the United States.</w:t>
      </w:r>
    </w:p>
    <w:p>
      <w:pPr>
        <w:pStyle w:val="BodyText"/>
        <w:ind w:left="360" w:hanging="259"/>
      </w:pPr>
      <w:r>
        <w:t xml:space="preserve">• </w:t>
      </w:r>
      <w:r>
        <w:t>The diversity of Indigenous languages, traditions, and ways of knowing.</w:t>
      </w:r>
    </w:p>
    <w:p>
      <w:pPr>
        <w:pStyle w:val="Heading2"/>
      </w:pPr>
      <w:r>
        <w:t>Examples in Practice</w:t>
      </w:r>
    </w:p>
    <w:p>
      <w:pPr>
        <w:pStyle w:val="BodyText"/>
      </w:pPr>
      <w:r>
        <w:t>A social studies class compares two versions of a treaty: the official U.S. text and the oral understanding recorded by tribal leaders.</w:t>
      </w:r>
    </w:p>
    <w:p>
      <w:pPr>
        <w:pStyle w:val="BodyText"/>
      </w:pPr>
      <w:r>
        <w:t>A science class studies Indigenous agricultural practices, such as the Three Sisters, as a sophisticated system of companion planting.</w:t>
      </w:r>
    </w:p>
    <w:p>
      <w:pPr>
        <w:pStyle w:val="BodyText"/>
      </w:pPr>
      <w:r>
        <w:t>An English class reads a contemporary short story by an Indigenous author alongside a classic American story, discussing themes of land and belonging.</w:t>
      </w:r>
    </w:p>
    <w:p>
      <w:pPr>
        <w:pStyle w:val="Heading2"/>
      </w:pPr>
      <w:r>
        <w:t>Leading Questions for What Indian Education Means in Public Schools</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3. Historical Background and Educational Context (Expanded)</w:t>
      </w:r>
    </w:p>
    <w:p>
      <w:pPr>
        <w:pStyle w:val="BodyText"/>
      </w:pPr>
      <w:r>
        <w:t>Public education in the United States and Canada was, for many years, heavily influenced by the goal of assimilating Indigenous children. From the late 1800s through the mid-1900s, federal and church-run boarding schools forcibly removed Native children from their families, punished them for speaking their languages, and attempted to erase their cultural identities.</w:t>
      </w:r>
    </w:p>
    <w:p>
      <w:pPr>
        <w:pStyle w:val="BodyText"/>
      </w:pPr>
      <w:r>
        <w:t>These schools are understood to have caused deep, intergenerational trauma that continues to affect communities today.</w:t>
      </w:r>
    </w:p>
    <w:p>
      <w:pPr>
        <w:pStyle w:val="Heading2"/>
      </w:pPr>
      <w:r>
        <w:t>The Boarding School Era</w:t>
      </w:r>
    </w:p>
    <w:p>
      <w:pPr>
        <w:pStyle w:val="BodyText"/>
      </w:pPr>
      <w:r>
        <w:t>The first off-reservation boarding school, Carlisle Indian Industrial School in Pennsylvania, opened in 1879 and was founded on the principle “Kill the Indian, Save the Man.” Children had their hair cut, were given English names, and were forbidden to speak their languages. Many suffered physical and emotional abuse, and thousands died of disease.</w:t>
      </w:r>
    </w:p>
    <w:p>
      <w:pPr>
        <w:pStyle w:val="BodyText"/>
      </w:pPr>
      <w:r>
        <w:t>The last federally run boarding school did not close until the 1990s.</w:t>
      </w:r>
    </w:p>
    <w:p>
      <w:pPr>
        <w:pStyle w:val="Heading2"/>
      </w:pPr>
      <w:r>
        <w:t>Shift Toward Self-Determination</w:t>
      </w:r>
    </w:p>
    <w:p>
      <w:pPr>
        <w:pStyle w:val="BodyText"/>
      </w:pPr>
      <w:r>
        <w:t>In the 1960s and 1970s, Indigenous activism helped prompt the Indian Education Act of 1972 and the Indian Self-Determination and Education Assistance Act of 1975. These laws began shifting educational control back toward tribes and required schools to address the unique needs of Native students.</w:t>
      </w:r>
    </w:p>
    <w:p>
      <w:pPr>
        <w:pStyle w:val="BodyText"/>
      </w:pPr>
      <w:r>
        <w:t>Yet many public schools still do not teach Indigenous history accurately, especially after 1900. Textbooks often present Indigenous people as historical figures rather than living citizens with contemporary governments, businesses, and cultures.</w:t>
      </w:r>
    </w:p>
    <w:p>
      <w:pPr>
        <w:pStyle w:val="Heading2"/>
      </w:pPr>
      <w:r>
        <w:t>The Legacy Today</w:t>
      </w:r>
    </w:p>
    <w:p>
      <w:pPr>
        <w:pStyle w:val="BodyText"/>
      </w:pPr>
      <w:r>
        <w:t>The trauma of boarding schools continues to affect communities through language loss, distrust of educational institutions, and broader social harm. At the same time, survivors and descendants have led remarkable efforts to heal, reclaim language, and reform education.</w:t>
      </w:r>
    </w:p>
    <w:p>
      <w:pPr>
        <w:pStyle w:val="BodyText"/>
      </w:pPr>
      <w:r>
        <w:t>Understanding this history is essential because “Indian for All” is not just a curriculum issue; it is also a justice issue.</w:t>
      </w:r>
    </w:p>
    <w:p>
      <w:pPr>
        <w:pStyle w:val="Heading2"/>
      </w:pPr>
      <w:r>
        <w:t>Leading Questions for Historical Background and Educational Context</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4. Why Decolonizing Education Matters</w:t>
      </w:r>
    </w:p>
    <w:p>
      <w:pPr>
        <w:pStyle w:val="BodyText"/>
      </w:pPr>
      <w:r>
        <w:t>Decolonizing education means identifying and removing colonial ways of thinking that have been built into schools. It asks whose stories are told, whose voices are heard, and who decides what is worth knowing.</w:t>
      </w:r>
    </w:p>
    <w:p>
      <w:pPr>
        <w:pStyle w:val="BodyText"/>
        <w:ind w:left="360" w:hanging="259"/>
      </w:pPr>
      <w:r>
        <w:t xml:space="preserve">• </w:t>
      </w:r>
      <w:r>
        <w:t>Viewing European culture as the norm and everything else as “other.”</w:t>
      </w:r>
    </w:p>
    <w:p>
      <w:pPr>
        <w:pStyle w:val="BodyText"/>
        <w:ind w:left="360" w:hanging="259"/>
      </w:pPr>
      <w:r>
        <w:t xml:space="preserve">• </w:t>
      </w:r>
      <w:r>
        <w:t>Treating Indigenous knowledge as folklore rather than as legitimate, rigorous knowledge.</w:t>
      </w:r>
    </w:p>
    <w:p>
      <w:pPr>
        <w:pStyle w:val="BodyText"/>
        <w:ind w:left="360" w:hanging="259"/>
      </w:pPr>
      <w:r>
        <w:t xml:space="preserve">• </w:t>
      </w:r>
      <w:r>
        <w:t>Teaching history only from the perspective of settlers and government officials.</w:t>
      </w:r>
    </w:p>
    <w:p>
      <w:pPr>
        <w:pStyle w:val="BodyText"/>
        <w:ind w:left="360" w:hanging="259"/>
      </w:pPr>
      <w:r>
        <w:t xml:space="preserve">• </w:t>
      </w:r>
      <w:r>
        <w:t>Ignoring the ongoing effects of colonialism, including poverty, health disparities, and legal struggles over land and sovereignty.</w:t>
      </w:r>
    </w:p>
    <w:p>
      <w:pPr>
        <w:pStyle w:val="Heading2"/>
      </w:pPr>
      <w:r>
        <w:t>Age-Level Applications</w:t>
      </w:r>
    </w:p>
    <w:p>
      <w:pPr>
        <w:pStyle w:val="BodyText"/>
      </w:pPr>
      <w:r>
        <w:t>Elementary: Use children’s books by Indigenous authors and teach about contemporary Native children, not only historical figures.</w:t>
      </w:r>
    </w:p>
    <w:p>
      <w:pPr>
        <w:pStyle w:val="BodyText"/>
      </w:pPr>
      <w:r>
        <w:t>Middle school: Have students research the original Indigenous place names of local landmarks and discuss why names were changed.</w:t>
      </w:r>
    </w:p>
    <w:p>
      <w:pPr>
        <w:pStyle w:val="BodyText"/>
      </w:pPr>
      <w:r>
        <w:t>High school: Analyze primary documents from treaty councils and compare newspaper coverage from settler and Indigenous sources.</w:t>
      </w:r>
    </w:p>
    <w:p>
      <w:pPr>
        <w:pStyle w:val="Heading2"/>
      </w:pPr>
      <w:r>
        <w:t>Leading Questions for Why Decolonizing Education Matters</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5. Indigenous Knowledge, Community, and Identity</w:t>
      </w:r>
    </w:p>
    <w:p>
      <w:pPr>
        <w:pStyle w:val="BodyText"/>
      </w:pPr>
      <w:r>
        <w:t>Indigenous knowledge is not a collection of interesting facts about the past. It is a living, evolving way of understanding the world that includes relationship with the land, oral tradition, holistic learning, and sustainability.</w:t>
      </w:r>
    </w:p>
    <w:p>
      <w:pPr>
        <w:pStyle w:val="BodyText"/>
      </w:pPr>
      <w:r>
        <w:t>For Indigenous students, seeing their knowledge and identity reflected in school curriculum supports self-esteem and academic success. For non-Indigenous students, exposure to different ways of knowing builds respect, empathy, and critical thinking.</w:t>
      </w:r>
    </w:p>
    <w:p>
      <w:pPr>
        <w:pStyle w:val="BodyText"/>
        <w:ind w:left="360" w:hanging="259"/>
      </w:pPr>
      <w:r>
        <w:t xml:space="preserve">• </w:t>
      </w:r>
      <w:r>
        <w:t>Relationship with the land — seeing land as relative, not property.</w:t>
      </w:r>
    </w:p>
    <w:p>
      <w:pPr>
        <w:pStyle w:val="BodyText"/>
        <w:ind w:left="360" w:hanging="259"/>
      </w:pPr>
      <w:r>
        <w:t xml:space="preserve">• </w:t>
      </w:r>
      <w:r>
        <w:t>Oral tradition — knowledge passed through stories, songs, and ceremonies.</w:t>
      </w:r>
    </w:p>
    <w:p>
      <w:pPr>
        <w:pStyle w:val="BodyText"/>
        <w:ind w:left="360" w:hanging="259"/>
      </w:pPr>
      <w:r>
        <w:t xml:space="preserve">• </w:t>
      </w:r>
      <w:r>
        <w:t>Holistic learning — connecting mind, body, spirit, and community.</w:t>
      </w:r>
    </w:p>
    <w:p>
      <w:pPr>
        <w:pStyle w:val="BodyText"/>
        <w:ind w:left="360" w:hanging="259"/>
      </w:pPr>
      <w:r>
        <w:t xml:space="preserve">• </w:t>
      </w:r>
      <w:r>
        <w:t>Sustainability — practices developed over thousands of years to live in balance with nature.</w:t>
      </w:r>
    </w:p>
    <w:p>
      <w:pPr>
        <w:pStyle w:val="Heading2"/>
      </w:pPr>
      <w:r>
        <w:t>Practical Classroom Example</w:t>
      </w:r>
    </w:p>
    <w:p>
      <w:pPr>
        <w:pStyle w:val="BodyText"/>
      </w:pPr>
      <w:r>
        <w:t>A high school biology class studying ecosystems invites a local tribal natural resource manager to explain traditional fire management practices. Students then compare Indigenous prescribed burning with modern wildfire suppression techniques.</w:t>
      </w:r>
    </w:p>
    <w:p>
      <w:pPr>
        <w:pStyle w:val="Heading2"/>
      </w:pPr>
      <w:r>
        <w:t>Leading Questions for Indigenous Knowledge, Community, and Identity</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6. Public Schools and Cultural Responsibility</w:t>
      </w:r>
    </w:p>
    <w:p>
      <w:pPr>
        <w:pStyle w:val="BodyText"/>
      </w:pPr>
      <w:r>
        <w:t>Public schools have a legal and ethical responsibility to serve all students equitably. In the United States, this responsibility is reinforced by treaty obligations, federal law, and state law.</w:t>
      </w:r>
    </w:p>
    <w:p>
      <w:pPr>
        <w:pStyle w:val="BodyText"/>
        <w:ind w:left="360" w:hanging="259"/>
      </w:pPr>
      <w:r>
        <w:t xml:space="preserve">• </w:t>
      </w:r>
      <w:r>
        <w:t>Treaty obligations — many treaties promised education in exchange for land.</w:t>
      </w:r>
    </w:p>
    <w:p>
      <w:pPr>
        <w:pStyle w:val="BodyText"/>
        <w:ind w:left="360" w:hanging="259"/>
      </w:pPr>
      <w:r>
        <w:t xml:space="preserve">• </w:t>
      </w:r>
      <w:r>
        <w:t>Federal law — the Indian Education Act and the Every Student Succeeds Act require schools to address the needs of Native students.</w:t>
      </w:r>
    </w:p>
    <w:p>
      <w:pPr>
        <w:pStyle w:val="BodyText"/>
        <w:ind w:left="360" w:hanging="259"/>
      </w:pPr>
      <w:r>
        <w:t xml:space="preserve">• </w:t>
      </w:r>
      <w:r>
        <w:t>State laws — some states, like Montana, have Indian Education for All mandates that require teaching accurate Indigenous content.</w:t>
      </w:r>
    </w:p>
    <w:p>
      <w:pPr>
        <w:pStyle w:val="Heading2"/>
      </w:pPr>
      <w:r>
        <w:t>Montana and IEFA — A Regional Note</w:t>
      </w:r>
    </w:p>
    <w:p>
      <w:pPr>
        <w:pStyle w:val="BodyText"/>
      </w:pPr>
      <w:r>
        <w:t>Montana’s Indian Education for All Act is one of the strongest state-level mandates in the country. It requires every public school to teach about the distinct and unique cultural heritage of American Indians, and it applies to all students, not only those in schools near reservations.</w:t>
      </w:r>
    </w:p>
    <w:p>
      <w:pPr>
        <w:pStyle w:val="BodyText"/>
      </w:pPr>
      <w:r>
        <w:t>IEFA is supported by the Montana Office of Public Instruction with free lesson plans, professional development, and the seven Essential Understandings. Schools in other states can look to Montana as a model for integrating Indigenous content across grade levels and subjects.</w:t>
      </w:r>
    </w:p>
    <w:p>
      <w:pPr>
        <w:pStyle w:val="Heading2"/>
      </w:pPr>
      <w:r>
        <w:t>Practical Steps for Schools</w:t>
      </w:r>
    </w:p>
    <w:p>
      <w:pPr>
        <w:pStyle w:val="BodyText"/>
      </w:pPr>
      <w:r>
        <w:t>Cultural responsibility goes beyond legal compliance. It means building relationships with local tribes, hiring Indigenous teachers and staff when possible, and creating safe and welcoming environments for Native students and families.</w:t>
      </w:r>
    </w:p>
    <w:p>
      <w:pPr>
        <w:pStyle w:val="BodyText"/>
        <w:ind w:left="360" w:hanging="259"/>
      </w:pPr>
      <w:r>
        <w:t xml:space="preserve">• </w:t>
      </w:r>
      <w:r>
        <w:t>Post a land acknowledgment in the school entryway and read it at public events.</w:t>
      </w:r>
    </w:p>
    <w:p>
      <w:pPr>
        <w:pStyle w:val="BodyText"/>
        <w:ind w:left="360" w:hanging="259"/>
      </w:pPr>
      <w:r>
        <w:t xml:space="preserve">• </w:t>
      </w:r>
      <w:r>
        <w:t>Establish a Native American parent advisory committee.</w:t>
      </w:r>
    </w:p>
    <w:p>
      <w:pPr>
        <w:pStyle w:val="BodyText"/>
        <w:ind w:left="360" w:hanging="259"/>
      </w:pPr>
      <w:r>
        <w:t xml:space="preserve">• </w:t>
      </w:r>
      <w:r>
        <w:t>Provide Native language classes where feasible.</w:t>
      </w:r>
    </w:p>
    <w:p>
      <w:pPr>
        <w:pStyle w:val="BodyText"/>
        <w:ind w:left="360" w:hanging="259"/>
      </w:pPr>
      <w:r>
        <w:t xml:space="preserve">• </w:t>
      </w:r>
      <w:r>
        <w:t>Ensure that school libraries include books by Indigenous authors for all age levels.</w:t>
      </w:r>
    </w:p>
    <w:p>
      <w:pPr>
        <w:pStyle w:val="Heading2"/>
      </w:pPr>
      <w:r>
        <w:t>Leading Questions for Public Schools and Cultural Responsibility</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7. Teacher Preparation and Practice</w:t>
      </w:r>
    </w:p>
    <w:p>
      <w:pPr>
        <w:pStyle w:val="BodyText"/>
      </w:pPr>
      <w:r>
        <w:t>Most teachers today did not learn Indigenous history or culture in their own schooling. That is not a personal failing — it is a systemic gap. But it is a gap that can be filled through deliberate learning and partnership.</w:t>
      </w:r>
    </w:p>
    <w:p>
      <w:pPr>
        <w:pStyle w:val="BodyText"/>
        <w:ind w:left="360" w:hanging="259"/>
      </w:pPr>
      <w:r>
        <w:t xml:space="preserve">• </w:t>
      </w:r>
      <w:r>
        <w:t>Learn the history of the land where you teach. Whose traditional territory is it? What treaties apply?</w:t>
      </w:r>
    </w:p>
    <w:p>
      <w:pPr>
        <w:pStyle w:val="BodyText"/>
        <w:ind w:left="360" w:hanging="259"/>
      </w:pPr>
      <w:r>
        <w:t xml:space="preserve">• </w:t>
      </w:r>
      <w:r>
        <w:t>Seek professional development offered by tribal education departments, universities, or organizations such as the National Indian Education Association.</w:t>
      </w:r>
    </w:p>
    <w:p>
      <w:pPr>
        <w:pStyle w:val="BodyText"/>
        <w:ind w:left="360" w:hanging="259"/>
      </w:pPr>
      <w:r>
        <w:t xml:space="preserve">• </w:t>
      </w:r>
      <w:r>
        <w:t>Use primary sources from Indigenous authors, tribal websites, and oral history archives.</w:t>
      </w:r>
    </w:p>
    <w:p>
      <w:pPr>
        <w:pStyle w:val="BodyText"/>
        <w:ind w:left="360" w:hanging="259"/>
      </w:pPr>
      <w:r>
        <w:t xml:space="preserve">• </w:t>
      </w:r>
      <w:r>
        <w:t>Avoid stereotypes. Native communities are diverse and contemporary.</w:t>
      </w:r>
    </w:p>
    <w:p>
      <w:pPr>
        <w:pStyle w:val="BodyText"/>
        <w:ind w:left="360" w:hanging="259"/>
      </w:pPr>
      <w:r>
        <w:t xml:space="preserve">• </w:t>
      </w:r>
      <w:r>
        <w:t>Teach Indigenous history throughout the year, not only in November or during a single unit.</w:t>
      </w:r>
    </w:p>
    <w:p>
      <w:pPr>
        <w:pStyle w:val="BodyText"/>
        <w:ind w:left="360" w:hanging="259"/>
      </w:pPr>
      <w:r>
        <w:t xml:space="preserve">• </w:t>
      </w:r>
      <w:r>
        <w:t>Invite Indigenous voices as guest speakers, panelists, and curriculum advisors — with respect and compensation.</w:t>
      </w:r>
    </w:p>
    <w:p>
      <w:pPr>
        <w:pStyle w:val="Heading2"/>
      </w:pPr>
      <w:r>
        <w:t>Sample Professional Development Plan for a School Year</w:t>
      </w:r>
    </w:p>
    <w:p>
      <w:pPr>
        <w:pStyle w:val="BodyText"/>
      </w:pPr>
      <w:r>
        <w:t>August: Land acknowledgment training.</w:t>
      </w:r>
    </w:p>
    <w:p>
      <w:pPr>
        <w:pStyle w:val="BodyText"/>
      </w:pPr>
      <w:r>
        <w:t>September: Visit a tribal museum or cultural center.</w:t>
      </w:r>
    </w:p>
    <w:p>
      <w:pPr>
        <w:pStyle w:val="BodyText"/>
      </w:pPr>
      <w:r>
        <w:t>October: Book study of a contemporary Indigenous author.</w:t>
      </w:r>
    </w:p>
    <w:p>
      <w:pPr>
        <w:pStyle w:val="BodyText"/>
      </w:pPr>
      <w:r>
        <w:t>November: Workshop on avoiding stereotypes in place of shallow holiday treatment.</w:t>
      </w:r>
    </w:p>
    <w:p>
      <w:pPr>
        <w:pStyle w:val="BodyText"/>
      </w:pPr>
      <w:r>
        <w:t>December: Review of state standards for Indigenous content.</w:t>
      </w:r>
    </w:p>
    <w:p>
      <w:pPr>
        <w:pStyle w:val="BodyText"/>
      </w:pPr>
      <w:r>
        <w:t>January: Guest speaker from a tribal education department.</w:t>
      </w:r>
    </w:p>
    <w:p>
      <w:pPr>
        <w:pStyle w:val="BodyText"/>
      </w:pPr>
      <w:r>
        <w:t>February: Lesson study — redesign one unit with Indigenous perspectives.</w:t>
      </w:r>
    </w:p>
    <w:p>
      <w:pPr>
        <w:pStyle w:val="BodyText"/>
      </w:pPr>
      <w:r>
        <w:t>March: Student panel, if appropriate, on school climate for Native students.</w:t>
      </w:r>
    </w:p>
    <w:p>
      <w:pPr>
        <w:pStyle w:val="BodyText"/>
      </w:pPr>
      <w:r>
        <w:t>April: Create an action plan for the next year.</w:t>
      </w:r>
    </w:p>
    <w:p>
      <w:pPr>
        <w:pStyle w:val="Heading2"/>
      </w:pPr>
      <w:r>
        <w:t>Leading Questions for Teacher Preparation and Practice</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8. Building Respectful and Inclusive Curriculum</w:t>
      </w:r>
    </w:p>
    <w:p>
      <w:pPr>
        <w:pStyle w:val="BodyText"/>
      </w:pPr>
      <w:r>
        <w:t>A respectful curriculum does not simply add Indigenous content to an otherwise unchanged course. It rethinks the course structure and places Indigenous voices and realities where they belong — in the center of serious learning.</w:t>
      </w:r>
    </w:p>
    <w:p>
      <w:pPr>
        <w:pStyle w:val="BodyText"/>
        <w:ind w:left="360" w:hanging="259"/>
      </w:pPr>
      <w:r>
        <w:t xml:space="preserve">• </w:t>
      </w:r>
      <w:r>
        <w:t>Indigenous peoples are contemporary. Do not focus only on the past.</w:t>
      </w:r>
    </w:p>
    <w:p>
      <w:pPr>
        <w:pStyle w:val="BodyText"/>
        <w:ind w:left="360" w:hanging="259"/>
      </w:pPr>
      <w:r>
        <w:t xml:space="preserve">• </w:t>
      </w:r>
      <w:r>
        <w:t>Indigenous nations are political entities. Teach sovereignty, treaties, and self-government clearly.</w:t>
      </w:r>
    </w:p>
    <w:p>
      <w:pPr>
        <w:pStyle w:val="BodyText"/>
        <w:ind w:left="360" w:hanging="259"/>
      </w:pPr>
      <w:r>
        <w:t xml:space="preserve">• </w:t>
      </w:r>
      <w:r>
        <w:t>Indigenous knowledge is rigorous. Include Indigenous science, agriculture, engineering, medicine, and mathematics where appropriate.</w:t>
      </w:r>
    </w:p>
    <w:p>
      <w:pPr>
        <w:pStyle w:val="BodyText"/>
        <w:ind w:left="360" w:hanging="259"/>
      </w:pPr>
      <w:r>
        <w:t xml:space="preserve">• </w:t>
      </w:r>
      <w:r>
        <w:t>Indigenous voices come first. Prioritize Indigenous authors, speakers, and sources.</w:t>
      </w:r>
    </w:p>
    <w:p>
      <w:pPr>
        <w:pStyle w:val="BodyText"/>
        <w:ind w:left="360" w:hanging="259"/>
      </w:pPr>
      <w:r>
        <w:t xml:space="preserve">• </w:t>
      </w:r>
      <w:r>
        <w:t>Avoid harmful activities such as simulating ceremonies, making “Indian” costumes, or using stereotypical mascots.</w:t>
      </w:r>
    </w:p>
    <w:p>
      <w:pPr>
        <w:pStyle w:val="Heading2"/>
      </w:pPr>
      <w:r>
        <w:t>Examples of Inclusive Units (by Grade Level)</w:t>
      </w:r>
    </w:p>
    <w:p>
      <w:pPr>
        <w:pStyle w:val="BodyText"/>
      </w:pPr>
      <w:r>
        <w:t>Grades K–2: Read We Are Water Protectors by Carole Lindstrom and discuss what water means to different communities.</w:t>
      </w:r>
    </w:p>
    <w:p>
      <w:pPr>
        <w:pStyle w:val="BodyText"/>
      </w:pPr>
      <w:r>
        <w:t>Grades 3–5: Create a map of local tribal nations before colonization and compare it with current reservation boundaries.</w:t>
      </w:r>
    </w:p>
    <w:p>
      <w:pPr>
        <w:pStyle w:val="BodyText"/>
      </w:pPr>
      <w:r>
        <w:t>Grades 6–8: Analyze a treaty using a two-column method — what the United States promised versus what tribes understood.</w:t>
      </w:r>
    </w:p>
    <w:p>
      <w:pPr>
        <w:pStyle w:val="BodyText"/>
      </w:pPr>
      <w:r>
        <w:t>Grades 9–12: Research a contemporary Indigenous entrepreneur or scientist and present that work to the class.</w:t>
      </w:r>
    </w:p>
    <w:p>
      <w:pPr>
        <w:pStyle w:val="Heading2"/>
      </w:pPr>
      <w:r>
        <w:t>Leading Questions for Building Respectful and Inclusive Curriculum</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9. Challenges, Barriers, and Opportunities</w:t>
      </w:r>
    </w:p>
    <w:p>
      <w:pPr>
        <w:pStyle w:val="BodyText"/>
      </w:pPr>
      <w:r>
        <w:t>Even well-intentioned schools face real obstacles: limited time, limited materials, limited training, community pushback, and fear of making mistakes. These barriers are real, but they are not insurmountable.</w:t>
      </w:r>
    </w:p>
    <w:p>
      <w:pPr>
        <w:pStyle w:val="BodyText"/>
        <w:ind w:left="360" w:hanging="259"/>
      </w:pPr>
      <w:r>
        <w:t xml:space="preserve">• </w:t>
      </w:r>
      <w:r>
        <w:t>Lack of time in an already packed curriculum.</w:t>
      </w:r>
    </w:p>
    <w:p>
      <w:pPr>
        <w:pStyle w:val="BodyText"/>
        <w:ind w:left="360" w:hanging="259"/>
      </w:pPr>
      <w:r>
        <w:t xml:space="preserve">• </w:t>
      </w:r>
      <w:r>
        <w:t>Lack of materials that are accurate and age-appropriate.</w:t>
      </w:r>
    </w:p>
    <w:p>
      <w:pPr>
        <w:pStyle w:val="BodyText"/>
        <w:ind w:left="360" w:hanging="259"/>
      </w:pPr>
      <w:r>
        <w:t xml:space="preserve">• </w:t>
      </w:r>
      <w:r>
        <w:t>Lack of training for teachers.</w:t>
      </w:r>
    </w:p>
    <w:p>
      <w:pPr>
        <w:pStyle w:val="BodyText"/>
        <w:ind w:left="360" w:hanging="259"/>
      </w:pPr>
      <w:r>
        <w:t xml:space="preserve">• </w:t>
      </w:r>
      <w:r>
        <w:t>Community pushback from people who view Indigenous content as irrelevant or too political.</w:t>
      </w:r>
    </w:p>
    <w:p>
      <w:pPr>
        <w:pStyle w:val="BodyText"/>
        <w:ind w:left="360" w:hanging="259"/>
      </w:pPr>
      <w:r>
        <w:t xml:space="preserve">• </w:t>
      </w:r>
      <w:r>
        <w:t>Fear of making mistakes that might offend.</w:t>
      </w:r>
    </w:p>
    <w:p>
      <w:pPr>
        <w:pStyle w:val="BodyText"/>
      </w:pPr>
      <w:r>
        <w:t>The opportunity is enormous. When schools get this right, Indigenous students feel seen and valued, non-Indigenous students gain a more truthful and complete understanding of the country, and the entire school community moves closer to education that is truly for all.</w:t>
      </w:r>
    </w:p>
    <w:p>
      <w:pPr>
        <w:pStyle w:val="Heading2"/>
      </w:pPr>
      <w:r>
        <w:t>Overcoming Common Barriers</w:t>
      </w:r>
    </w:p>
    <w:tbl>
      <w:tblPr>
        <w:tblStyle w:val="TableGrid"/>
        <w:tblW w:type="auto" w:w="0"/>
        <w:jc w:val="center"/>
        <w:tblLook w:firstColumn="1" w:firstRow="1" w:lastColumn="0" w:lastRow="0" w:noHBand="0" w:noVBand="1" w:val="04A0"/>
      </w:tblPr>
      <w:tblGrid>
        <w:gridCol w:w="4824"/>
        <w:gridCol w:w="4824"/>
      </w:tblGrid>
      <w:tr>
        <w:trPr>
          <w:tblHeader w:val="true"/>
          <w:cantSplit/>
        </w:trPr>
        <w:tc>
          <w:tcPr>
            <w:tcW w:type="dxa" w:w="2448"/>
            <w:shd w:fill="D9EAF7"/>
            <w:vAlign w:val="center"/>
            <w:tcMar>
              <w:top w:w="90" w:type="dxa"/>
              <w:start w:w="110" w:type="dxa"/>
              <w:bottom w:w="90" w:type="dxa"/>
              <w:end w:w="110" w:type="dxa"/>
            </w:tcMar>
          </w:tcPr>
          <w:p>
            <w:r>
              <w:rPr>
                <w:b/>
              </w:rPr>
              <w:t>Barrier</w:t>
            </w:r>
          </w:p>
        </w:tc>
        <w:tc>
          <w:tcPr>
            <w:tcW w:type="dxa" w:w="6768"/>
            <w:shd w:fill="D9EAF7"/>
            <w:vAlign w:val="center"/>
            <w:tcMar>
              <w:top w:w="90" w:type="dxa"/>
              <w:start w:w="110" w:type="dxa"/>
              <w:bottom w:w="90" w:type="dxa"/>
              <w:end w:w="110" w:type="dxa"/>
            </w:tcMar>
          </w:tcPr>
          <w:p>
            <w:r>
              <w:rPr>
                <w:b/>
              </w:rPr>
              <w:t>Possible Solution</w:t>
            </w:r>
          </w:p>
        </w:tc>
      </w:tr>
      <w:tr>
        <w:trPr>
          <w:cantSplit/>
        </w:trPr>
        <w:tc>
          <w:tcPr>
            <w:tcW w:type="dxa" w:w="2448"/>
            <w:vAlign w:val="center"/>
            <w:tcMar>
              <w:top w:w="90" w:type="dxa"/>
              <w:start w:w="110" w:type="dxa"/>
              <w:bottom w:w="90" w:type="dxa"/>
              <w:end w:w="110" w:type="dxa"/>
            </w:tcMar>
          </w:tcPr>
          <w:p>
            <w:r>
              <w:t>No time</w:t>
            </w:r>
          </w:p>
        </w:tc>
        <w:tc>
          <w:tcPr>
            <w:tcW w:type="dxa" w:w="6768"/>
            <w:vAlign w:val="center"/>
            <w:tcMar>
              <w:top w:w="90" w:type="dxa"/>
              <w:start w:w="110" w:type="dxa"/>
              <w:bottom w:w="90" w:type="dxa"/>
              <w:end w:w="110" w:type="dxa"/>
            </w:tcMar>
          </w:tcPr>
          <w:p>
            <w:r>
              <w:t>Integrate Indigenous content into existing units rather than adding entirely new ones.</w:t>
            </w:r>
          </w:p>
        </w:tc>
      </w:tr>
      <w:tr>
        <w:trPr>
          <w:cantSplit/>
        </w:trPr>
        <w:tc>
          <w:tcPr>
            <w:tcW w:type="dxa" w:w="2448"/>
            <w:vAlign w:val="center"/>
            <w:tcMar>
              <w:top w:w="90" w:type="dxa"/>
              <w:start w:w="110" w:type="dxa"/>
              <w:bottom w:w="90" w:type="dxa"/>
              <w:end w:w="110" w:type="dxa"/>
            </w:tcMar>
          </w:tcPr>
          <w:p>
            <w:r>
              <w:t>No materials</w:t>
            </w:r>
          </w:p>
        </w:tc>
        <w:tc>
          <w:tcPr>
            <w:tcW w:type="dxa" w:w="6768"/>
            <w:vAlign w:val="center"/>
            <w:tcMar>
              <w:top w:w="90" w:type="dxa"/>
              <w:start w:w="110" w:type="dxa"/>
              <w:bottom w:w="90" w:type="dxa"/>
              <w:end w:w="110" w:type="dxa"/>
            </w:tcMar>
          </w:tcPr>
          <w:p>
            <w:r>
              <w:t>Use free online resources from tribal museums, universities, and public educational institutions.</w:t>
            </w:r>
          </w:p>
        </w:tc>
      </w:tr>
      <w:tr>
        <w:trPr>
          <w:cantSplit/>
        </w:trPr>
        <w:tc>
          <w:tcPr>
            <w:tcW w:type="dxa" w:w="2448"/>
            <w:vAlign w:val="center"/>
            <w:tcMar>
              <w:top w:w="90" w:type="dxa"/>
              <w:start w:w="110" w:type="dxa"/>
              <w:bottom w:w="90" w:type="dxa"/>
              <w:end w:w="110" w:type="dxa"/>
            </w:tcMar>
          </w:tcPr>
          <w:p>
            <w:r>
              <w:t>No training</w:t>
            </w:r>
          </w:p>
        </w:tc>
        <w:tc>
          <w:tcPr>
            <w:tcW w:type="dxa" w:w="6768"/>
            <w:vAlign w:val="center"/>
            <w:tcMar>
              <w:top w:w="90" w:type="dxa"/>
              <w:start w:w="110" w:type="dxa"/>
              <w:bottom w:w="90" w:type="dxa"/>
              <w:end w:w="110" w:type="dxa"/>
            </w:tcMar>
          </w:tcPr>
          <w:p>
            <w:r>
              <w:t>Partner with a nearby tribal college, education department, or Indigenous organization for a workshop.</w:t>
            </w:r>
          </w:p>
        </w:tc>
      </w:tr>
      <w:tr>
        <w:trPr>
          <w:cantSplit/>
        </w:trPr>
        <w:tc>
          <w:tcPr>
            <w:tcW w:type="dxa" w:w="2448"/>
            <w:vAlign w:val="center"/>
            <w:tcMar>
              <w:top w:w="90" w:type="dxa"/>
              <w:start w:w="110" w:type="dxa"/>
              <w:bottom w:w="90" w:type="dxa"/>
              <w:end w:w="110" w:type="dxa"/>
            </w:tcMar>
          </w:tcPr>
          <w:p>
            <w:r>
              <w:t>Pushback</w:t>
            </w:r>
          </w:p>
        </w:tc>
        <w:tc>
          <w:tcPr>
            <w:tcW w:type="dxa" w:w="6768"/>
            <w:vAlign w:val="center"/>
            <w:tcMar>
              <w:top w:w="90" w:type="dxa"/>
              <w:start w:w="110" w:type="dxa"/>
              <w:bottom w:w="90" w:type="dxa"/>
              <w:end w:w="110" w:type="dxa"/>
            </w:tcMar>
          </w:tcPr>
          <w:p>
            <w:r>
              <w:t>Invite a tribal leader or educator to speak to the school board or community.</w:t>
            </w:r>
          </w:p>
        </w:tc>
      </w:tr>
      <w:tr>
        <w:trPr>
          <w:cantSplit/>
        </w:trPr>
        <w:tc>
          <w:tcPr>
            <w:tcW w:type="dxa" w:w="2448"/>
            <w:vAlign w:val="center"/>
            <w:tcMar>
              <w:top w:w="90" w:type="dxa"/>
              <w:start w:w="110" w:type="dxa"/>
              <w:bottom w:w="90" w:type="dxa"/>
              <w:end w:w="110" w:type="dxa"/>
            </w:tcMar>
          </w:tcPr>
          <w:p>
            <w:r>
              <w:t>Fear of mistakes</w:t>
            </w:r>
          </w:p>
        </w:tc>
        <w:tc>
          <w:tcPr>
            <w:tcW w:type="dxa" w:w="6768"/>
            <w:vAlign w:val="center"/>
            <w:tcMar>
              <w:top w:w="90" w:type="dxa"/>
              <w:start w:w="110" w:type="dxa"/>
              <w:bottom w:w="90" w:type="dxa"/>
              <w:end w:w="110" w:type="dxa"/>
            </w:tcMar>
          </w:tcPr>
          <w:p>
            <w:r>
              <w:t>Adopt a learner’s stance and be transparent that the school is learning alongside students and partners.</w:t>
            </w:r>
          </w:p>
        </w:tc>
      </w:tr>
    </w:tbl>
    <w:p>
      <w:pPr>
        <w:pStyle w:val="Heading2"/>
      </w:pPr>
      <w:r>
        <w:t>Leading Questions for Challenges, Barriers, and Opportunities</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10. Local Tribal Context and Community Partnership (New Chapter)</w:t>
      </w:r>
    </w:p>
    <w:p>
      <w:pPr>
        <w:pStyle w:val="BodyText"/>
      </w:pPr>
      <w:r>
        <w:t>No national or state guide can tell a school exactly what to teach about the tribes in its area. That knowledge must come from the tribes themselves. This chapter offers a process for building respectful, lasting partnerships.</w:t>
      </w:r>
    </w:p>
    <w:p>
      <w:pPr>
        <w:pStyle w:val="Heading2"/>
      </w:pPr>
      <w:r>
        <w:t>Step 1: Identify the tribes whose traditional territory you are on.</w:t>
      </w:r>
    </w:p>
    <w:p>
      <w:pPr>
        <w:pStyle w:val="BodyText"/>
      </w:pPr>
      <w:r>
        <w:t>Use reputable resources and state or tribal liaison offices to confirm whose homelands, treaty lands, or traditional territories connect to your school community.</w:t>
      </w:r>
    </w:p>
    <w:p>
      <w:pPr>
        <w:pStyle w:val="Heading2"/>
      </w:pPr>
      <w:r>
        <w:t>Step 2: Reach out formally.</w:t>
      </w:r>
    </w:p>
    <w:p>
      <w:pPr>
        <w:pStyle w:val="BodyText"/>
      </w:pPr>
      <w:r>
        <w:t>Send a respectful letter to the tribal education department or tribal council. Introduce the school and explain the desire to improve Indigenous education. Ask for guidance, not permission to “use” culture.</w:t>
      </w:r>
    </w:p>
    <w:p>
      <w:pPr>
        <w:pStyle w:val="Heading2"/>
      </w:pPr>
      <w:r>
        <w:t>Step 3: Listen before acting.</w:t>
      </w:r>
    </w:p>
    <w:p>
      <w:pPr>
        <w:pStyle w:val="BodyText"/>
      </w:pPr>
      <w:r>
        <w:t>Attend public tribal events when appropriate, listen to priorities, and do not expect immediate answers. Relationship building takes time.</w:t>
      </w:r>
    </w:p>
    <w:p>
      <w:pPr>
        <w:pStyle w:val="Heading2"/>
      </w:pPr>
      <w:r>
        <w:t>Step 4: Co-create a memorandum of understanding (MOU).</w:t>
      </w:r>
    </w:p>
    <w:p>
      <w:pPr>
        <w:pStyle w:val="BodyText"/>
      </w:pPr>
      <w:r>
        <w:t>An MOU can outline consultation practices, speaker compensation, student support, and conflict resolution.</w:t>
      </w:r>
    </w:p>
    <w:p>
      <w:pPr>
        <w:pStyle w:val="Heading2"/>
      </w:pPr>
      <w:r>
        <w:t>Step 5: Evaluate and adjust annually.</w:t>
      </w:r>
    </w:p>
    <w:p>
      <w:pPr>
        <w:pStyle w:val="BodyText"/>
      </w:pPr>
      <w:r>
        <w:t>Schedule a yearly meeting with tribal partners to review progress, celebrate successes, and address failures honestly.</w:t>
      </w:r>
    </w:p>
    <w:p>
      <w:pPr>
        <w:pStyle w:val="Heading2"/>
      </w:pPr>
      <w:r>
        <w:t>Example MOU Items</w:t>
      </w:r>
    </w:p>
    <w:p>
      <w:pPr>
        <w:pStyle w:val="BodyText"/>
      </w:pPr>
      <w:r>
        <w:t>The school will pay an honorarium to tribal elders or speakers who participate in classrooms.</w:t>
      </w:r>
    </w:p>
    <w:p>
      <w:pPr>
        <w:pStyle w:val="BodyText"/>
      </w:pPr>
      <w:r>
        <w:t>The school will provide space for a Native language club at no cost.</w:t>
      </w:r>
    </w:p>
    <w:p>
      <w:pPr>
        <w:pStyle w:val="BodyText"/>
      </w:pPr>
      <w:r>
        <w:t>The tribe will be invited to review proposed social studies units involving their history.</w:t>
      </w:r>
    </w:p>
    <w:p>
      <w:pPr>
        <w:pStyle w:val="BodyText"/>
      </w:pPr>
      <w:r>
        <w:t>The school will not use stereotypical mascots or logos.</w:t>
      </w:r>
    </w:p>
    <w:p>
      <w:pPr>
        <w:pStyle w:val="Heading2"/>
      </w:pPr>
      <w:r>
        <w:t>Leading Questions for Local Tribal Context and Community Partnership</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11. Common Mistakes to Avoid (New Chapter)</w:t>
      </w:r>
    </w:p>
    <w:p>
      <w:pPr>
        <w:pStyle w:val="BodyText"/>
      </w:pPr>
      <w:r>
        <w:t>Even when schools intend to do good, they sometimes cause harm. The chart below highlights common mistakes, why they matter, and how to respond more respectfully.</w:t>
      </w:r>
    </w:p>
    <w:tbl>
      <w:tblPr>
        <w:tblStyle w:val="TableGrid"/>
        <w:tblW w:type="auto" w:w="0"/>
        <w:jc w:val="center"/>
        <w:tblLook w:firstColumn="1" w:firstRow="1" w:lastColumn="0" w:lastRow="0" w:noHBand="0" w:noVBand="1" w:val="04A0"/>
      </w:tblPr>
      <w:tblGrid>
        <w:gridCol w:w="3216"/>
        <w:gridCol w:w="3216"/>
        <w:gridCol w:w="3216"/>
      </w:tblGrid>
      <w:tr>
        <w:trPr>
          <w:tblHeader w:val="true"/>
          <w:cantSplit/>
        </w:trPr>
        <w:tc>
          <w:tcPr>
            <w:tcW w:type="dxa" w:w="2736"/>
            <w:shd w:fill="D9EAF7"/>
            <w:vAlign w:val="center"/>
            <w:tcMar>
              <w:top w:w="90" w:type="dxa"/>
              <w:start w:w="110" w:type="dxa"/>
              <w:bottom w:w="90" w:type="dxa"/>
              <w:end w:w="110" w:type="dxa"/>
            </w:tcMar>
          </w:tcPr>
          <w:p>
            <w:r>
              <w:rPr>
                <w:b/>
              </w:rPr>
              <w:t>Mistake</w:t>
            </w:r>
          </w:p>
        </w:tc>
        <w:tc>
          <w:tcPr>
            <w:tcW w:type="dxa" w:w="3168"/>
            <w:shd w:fill="D9EAF7"/>
            <w:vAlign w:val="center"/>
            <w:tcMar>
              <w:top w:w="90" w:type="dxa"/>
              <w:start w:w="110" w:type="dxa"/>
              <w:bottom w:w="90" w:type="dxa"/>
              <w:end w:w="110" w:type="dxa"/>
            </w:tcMar>
          </w:tcPr>
          <w:p>
            <w:r>
              <w:rPr>
                <w:b/>
              </w:rPr>
              <w:t>Why It’s Harmful</w:t>
            </w:r>
          </w:p>
        </w:tc>
        <w:tc>
          <w:tcPr>
            <w:tcW w:type="dxa" w:w="3311"/>
            <w:shd w:fill="D9EAF7"/>
            <w:vAlign w:val="center"/>
            <w:tcMar>
              <w:top w:w="90" w:type="dxa"/>
              <w:start w:w="110" w:type="dxa"/>
              <w:bottom w:w="90" w:type="dxa"/>
              <w:end w:w="110" w:type="dxa"/>
            </w:tcMar>
          </w:tcPr>
          <w:p>
            <w:r>
              <w:rPr>
                <w:b/>
              </w:rPr>
              <w:t>Better Approach</w:t>
            </w:r>
          </w:p>
        </w:tc>
      </w:tr>
      <w:tr>
        <w:trPr>
          <w:cantSplit/>
        </w:trPr>
        <w:tc>
          <w:tcPr>
            <w:tcW w:type="dxa" w:w="2736"/>
            <w:vAlign w:val="center"/>
            <w:tcMar>
              <w:top w:w="90" w:type="dxa"/>
              <w:start w:w="110" w:type="dxa"/>
              <w:bottom w:w="90" w:type="dxa"/>
              <w:end w:w="110" w:type="dxa"/>
            </w:tcMar>
          </w:tcPr>
          <w:p>
            <w:r>
              <w:t>Treating all tribes as the same</w:t>
            </w:r>
          </w:p>
        </w:tc>
        <w:tc>
          <w:tcPr>
            <w:tcW w:type="dxa" w:w="3168"/>
            <w:vAlign w:val="center"/>
            <w:tcMar>
              <w:top w:w="90" w:type="dxa"/>
              <w:start w:w="110" w:type="dxa"/>
              <w:bottom w:w="90" w:type="dxa"/>
              <w:end w:w="110" w:type="dxa"/>
            </w:tcMar>
          </w:tcPr>
          <w:p>
            <w:r>
              <w:t>It erases unique cultures and histories.</w:t>
            </w:r>
          </w:p>
        </w:tc>
        <w:tc>
          <w:tcPr>
            <w:tcW w:type="dxa" w:w="3311"/>
            <w:vAlign w:val="center"/>
            <w:tcMar>
              <w:top w:w="90" w:type="dxa"/>
              <w:start w:w="110" w:type="dxa"/>
              <w:bottom w:w="90" w:type="dxa"/>
              <w:end w:w="110" w:type="dxa"/>
            </w:tcMar>
          </w:tcPr>
          <w:p>
            <w:r>
              <w:t>Name specific tribes and teach about local nations whenever possible.</w:t>
            </w:r>
          </w:p>
        </w:tc>
      </w:tr>
      <w:tr>
        <w:trPr>
          <w:cantSplit/>
        </w:trPr>
        <w:tc>
          <w:tcPr>
            <w:tcW w:type="dxa" w:w="2736"/>
            <w:vAlign w:val="center"/>
            <w:tcMar>
              <w:top w:w="90" w:type="dxa"/>
              <w:start w:w="110" w:type="dxa"/>
              <w:bottom w:w="90" w:type="dxa"/>
              <w:end w:w="110" w:type="dxa"/>
            </w:tcMar>
          </w:tcPr>
          <w:p>
            <w:r>
              <w:t>Using “Indian” as a generic term</w:t>
            </w:r>
          </w:p>
        </w:tc>
        <w:tc>
          <w:tcPr>
            <w:tcW w:type="dxa" w:w="3168"/>
            <w:vAlign w:val="center"/>
            <w:tcMar>
              <w:top w:w="90" w:type="dxa"/>
              <w:start w:w="110" w:type="dxa"/>
              <w:bottom w:w="90" w:type="dxa"/>
              <w:end w:w="110" w:type="dxa"/>
            </w:tcMar>
          </w:tcPr>
          <w:p>
            <w:r>
              <w:t>It ignores tribal sovereignty and diversity.</w:t>
            </w:r>
          </w:p>
        </w:tc>
        <w:tc>
          <w:tcPr>
            <w:tcW w:type="dxa" w:w="3311"/>
            <w:vAlign w:val="center"/>
            <w:tcMar>
              <w:top w:w="90" w:type="dxa"/>
              <w:start w:w="110" w:type="dxa"/>
              <w:bottom w:w="90" w:type="dxa"/>
              <w:end w:w="110" w:type="dxa"/>
            </w:tcMar>
          </w:tcPr>
          <w:p>
            <w:r>
              <w:t>Use the specific tribal name, or broader terms like Indigenous or Native when appropriate.</w:t>
            </w:r>
          </w:p>
        </w:tc>
      </w:tr>
      <w:tr>
        <w:trPr>
          <w:cantSplit/>
        </w:trPr>
        <w:tc>
          <w:tcPr>
            <w:tcW w:type="dxa" w:w="2736"/>
            <w:vAlign w:val="center"/>
            <w:tcMar>
              <w:top w:w="90" w:type="dxa"/>
              <w:start w:w="110" w:type="dxa"/>
              <w:bottom w:w="90" w:type="dxa"/>
              <w:end w:w="110" w:type="dxa"/>
            </w:tcMar>
          </w:tcPr>
          <w:p>
            <w:r>
              <w:t>Focusing only on the past</w:t>
            </w:r>
          </w:p>
        </w:tc>
        <w:tc>
          <w:tcPr>
            <w:tcW w:type="dxa" w:w="3168"/>
            <w:vAlign w:val="center"/>
            <w:tcMar>
              <w:top w:w="90" w:type="dxa"/>
              <w:start w:w="110" w:type="dxa"/>
              <w:bottom w:w="90" w:type="dxa"/>
              <w:end w:w="110" w:type="dxa"/>
            </w:tcMar>
          </w:tcPr>
          <w:p>
            <w:r>
              <w:t>It suggests Native people no longer exist.</w:t>
            </w:r>
          </w:p>
        </w:tc>
        <w:tc>
          <w:tcPr>
            <w:tcW w:type="dxa" w:w="3311"/>
            <w:vAlign w:val="center"/>
            <w:tcMar>
              <w:top w:w="90" w:type="dxa"/>
              <w:start w:w="110" w:type="dxa"/>
              <w:bottom w:w="90" w:type="dxa"/>
              <w:end w:w="110" w:type="dxa"/>
            </w:tcMar>
          </w:tcPr>
          <w:p>
            <w:r>
              <w:t>Include contemporary leaders, artists, professionals, and issues.</w:t>
            </w:r>
          </w:p>
        </w:tc>
      </w:tr>
      <w:tr>
        <w:trPr>
          <w:cantSplit/>
        </w:trPr>
        <w:tc>
          <w:tcPr>
            <w:tcW w:type="dxa" w:w="2736"/>
            <w:vAlign w:val="center"/>
            <w:tcMar>
              <w:top w:w="90" w:type="dxa"/>
              <w:start w:w="110" w:type="dxa"/>
              <w:bottom w:w="90" w:type="dxa"/>
              <w:end w:w="110" w:type="dxa"/>
            </w:tcMar>
          </w:tcPr>
          <w:p>
            <w:r>
              <w:t>Having students create “Indian” costumes or crafts</w:t>
            </w:r>
          </w:p>
        </w:tc>
        <w:tc>
          <w:tcPr>
            <w:tcW w:type="dxa" w:w="3168"/>
            <w:vAlign w:val="center"/>
            <w:tcMar>
              <w:top w:w="90" w:type="dxa"/>
              <w:start w:w="110" w:type="dxa"/>
              <w:bottom w:w="90" w:type="dxa"/>
              <w:end w:w="110" w:type="dxa"/>
            </w:tcMar>
          </w:tcPr>
          <w:p>
            <w:r>
              <w:t>It mocks sacred regalia and reduces culture to a craft project.</w:t>
            </w:r>
          </w:p>
        </w:tc>
        <w:tc>
          <w:tcPr>
            <w:tcW w:type="dxa" w:w="3311"/>
            <w:vAlign w:val="center"/>
            <w:tcMar>
              <w:top w:w="90" w:type="dxa"/>
              <w:start w:w="110" w:type="dxa"/>
              <w:bottom w:w="90" w:type="dxa"/>
              <w:end w:w="110" w:type="dxa"/>
            </w:tcMar>
          </w:tcPr>
          <w:p>
            <w:r>
              <w:t>Invite a tribal artist or educator to demonstrate authentic art forms or discuss meaning respectfully.</w:t>
            </w:r>
          </w:p>
        </w:tc>
      </w:tr>
      <w:tr>
        <w:trPr>
          <w:cantSplit/>
        </w:trPr>
        <w:tc>
          <w:tcPr>
            <w:tcW w:type="dxa" w:w="2736"/>
            <w:vAlign w:val="center"/>
            <w:tcMar>
              <w:top w:w="90" w:type="dxa"/>
              <w:start w:w="110" w:type="dxa"/>
              <w:bottom w:w="90" w:type="dxa"/>
              <w:end w:w="110" w:type="dxa"/>
            </w:tcMar>
          </w:tcPr>
          <w:p>
            <w:r>
              <w:t>Asking one Native student to speak for all Native people</w:t>
            </w:r>
          </w:p>
        </w:tc>
        <w:tc>
          <w:tcPr>
            <w:tcW w:type="dxa" w:w="3168"/>
            <w:vAlign w:val="center"/>
            <w:tcMar>
              <w:top w:w="90" w:type="dxa"/>
              <w:start w:w="110" w:type="dxa"/>
              <w:bottom w:w="90" w:type="dxa"/>
              <w:end w:w="110" w:type="dxa"/>
            </w:tcMar>
          </w:tcPr>
          <w:p>
            <w:r>
              <w:t>It places an unfair burden on the student.</w:t>
            </w:r>
          </w:p>
        </w:tc>
        <w:tc>
          <w:tcPr>
            <w:tcW w:type="dxa" w:w="3311"/>
            <w:vAlign w:val="center"/>
            <w:tcMar>
              <w:top w:w="90" w:type="dxa"/>
              <w:start w:w="110" w:type="dxa"/>
              <w:bottom w:w="90" w:type="dxa"/>
              <w:end w:w="110" w:type="dxa"/>
            </w:tcMar>
          </w:tcPr>
          <w:p>
            <w:r>
              <w:t>Invite a designated speaker, elder, or community educator instead.</w:t>
            </w:r>
          </w:p>
        </w:tc>
      </w:tr>
      <w:tr>
        <w:trPr>
          <w:cantSplit/>
        </w:trPr>
        <w:tc>
          <w:tcPr>
            <w:tcW w:type="dxa" w:w="2736"/>
            <w:vAlign w:val="center"/>
            <w:tcMar>
              <w:top w:w="90" w:type="dxa"/>
              <w:start w:w="110" w:type="dxa"/>
              <w:bottom w:w="90" w:type="dxa"/>
              <w:end w:w="110" w:type="dxa"/>
            </w:tcMar>
          </w:tcPr>
          <w:p>
            <w:r>
              <w:t>Using passive voice for historical harm</w:t>
            </w:r>
          </w:p>
        </w:tc>
        <w:tc>
          <w:tcPr>
            <w:tcW w:type="dxa" w:w="3168"/>
            <w:vAlign w:val="center"/>
            <w:tcMar>
              <w:top w:w="90" w:type="dxa"/>
              <w:start w:w="110" w:type="dxa"/>
              <w:bottom w:w="90" w:type="dxa"/>
              <w:end w:w="110" w:type="dxa"/>
            </w:tcMar>
          </w:tcPr>
          <w:p>
            <w:r>
              <w:t>It hides who took harmful action.</w:t>
            </w:r>
          </w:p>
        </w:tc>
        <w:tc>
          <w:tcPr>
            <w:tcW w:type="dxa" w:w="3311"/>
            <w:vAlign w:val="center"/>
            <w:tcMar>
              <w:top w:w="90" w:type="dxa"/>
              <w:start w:w="110" w:type="dxa"/>
              <w:bottom w:w="90" w:type="dxa"/>
              <w:end w:w="110" w:type="dxa"/>
            </w:tcMar>
          </w:tcPr>
          <w:p>
            <w:r>
              <w:t>Use active voice when teaching hard history so accountability remains visible.</w:t>
            </w:r>
          </w:p>
        </w:tc>
      </w:tr>
      <w:tr>
        <w:trPr>
          <w:cantSplit/>
        </w:trPr>
        <w:tc>
          <w:tcPr>
            <w:tcW w:type="dxa" w:w="2736"/>
            <w:vAlign w:val="center"/>
            <w:tcMar>
              <w:top w:w="90" w:type="dxa"/>
              <w:start w:w="110" w:type="dxa"/>
              <w:bottom w:w="90" w:type="dxa"/>
              <w:end w:w="110" w:type="dxa"/>
            </w:tcMar>
          </w:tcPr>
          <w:p>
            <w:r>
              <w:t>Avoiding difficult history to “protect” students</w:t>
            </w:r>
          </w:p>
        </w:tc>
        <w:tc>
          <w:tcPr>
            <w:tcW w:type="dxa" w:w="3168"/>
            <w:vAlign w:val="center"/>
            <w:tcMar>
              <w:top w:w="90" w:type="dxa"/>
              <w:start w:w="110" w:type="dxa"/>
              <w:bottom w:w="90" w:type="dxa"/>
              <w:end w:w="110" w:type="dxa"/>
            </w:tcMar>
          </w:tcPr>
          <w:p>
            <w:r>
              <w:t>It leaves students with incomplete truth.</w:t>
            </w:r>
          </w:p>
        </w:tc>
        <w:tc>
          <w:tcPr>
            <w:tcW w:type="dxa" w:w="3311"/>
            <w:vAlign w:val="center"/>
            <w:tcMar>
              <w:top w:w="90" w:type="dxa"/>
              <w:start w:w="110" w:type="dxa"/>
              <w:bottom w:w="90" w:type="dxa"/>
              <w:end w:w="110" w:type="dxa"/>
            </w:tcMar>
          </w:tcPr>
          <w:p>
            <w:r>
              <w:t>Teach hard history in age-appropriate ways with care and support.</w:t>
            </w:r>
          </w:p>
        </w:tc>
      </w:tr>
    </w:tbl>
    <w:p>
      <w:pPr>
        <w:pStyle w:val="Heading2"/>
      </w:pPr>
      <w:r>
        <w:t>Self-Check for Lesson Planning</w:t>
      </w:r>
    </w:p>
    <w:p>
      <w:pPr>
        <w:pStyle w:val="BodyText"/>
        <w:ind w:left="360" w:hanging="259"/>
      </w:pPr>
      <w:r>
        <w:t xml:space="preserve">• </w:t>
      </w:r>
      <w:r>
        <w:t>Whose voice is central? If it is not Indigenous, why not?</w:t>
      </w:r>
    </w:p>
    <w:p>
      <w:pPr>
        <w:pStyle w:val="BodyText"/>
        <w:ind w:left="360" w:hanging="259"/>
      </w:pPr>
      <w:r>
        <w:t xml:space="preserve">• </w:t>
      </w:r>
      <w:r>
        <w:t>Does this lesson reinforce stereotypes or challenge them?</w:t>
      </w:r>
    </w:p>
    <w:p>
      <w:pPr>
        <w:pStyle w:val="BodyText"/>
        <w:ind w:left="360" w:hanging="259"/>
      </w:pPr>
      <w:r>
        <w:t xml:space="preserve">• </w:t>
      </w:r>
      <w:r>
        <w:t>Would I be comfortable showing this lesson to a tribal leader?</w:t>
      </w:r>
    </w:p>
    <w:p>
      <w:pPr>
        <w:pStyle w:val="BodyText"/>
        <w:ind w:left="360" w:hanging="259"/>
      </w:pPr>
      <w:r>
        <w:t xml:space="preserve">• </w:t>
      </w:r>
      <w:r>
        <w:t>Is the tribe named? Is the time period clear?</w:t>
      </w:r>
    </w:p>
    <w:p>
      <w:pPr>
        <w:pStyle w:val="BodyText"/>
        <w:ind w:left="360" w:hanging="259"/>
      </w:pPr>
      <w:r>
        <w:t xml:space="preserve">• </w:t>
      </w:r>
      <w:r>
        <w:t>Does the lesson include contemporary as well as historical content?</w:t>
      </w:r>
    </w:p>
    <w:p>
      <w:pPr>
        <w:pStyle w:val="Heading2"/>
      </w:pPr>
      <w:r>
        <w:t>Leading Questions for Common Mistakes to Avoid</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12. Key Terms</w:t>
      </w:r>
    </w:p>
    <w:p>
      <w:pPr>
        <w:pStyle w:val="BodyText"/>
        <w:ind w:left="360" w:hanging="259"/>
      </w:pPr>
      <w:r>
        <w:t xml:space="preserve">• </w:t>
      </w:r>
      <w:r>
        <w:t>Decolonization — The process of identifying and dismantling colonial structures, including in education.</w:t>
      </w:r>
    </w:p>
    <w:p>
      <w:pPr>
        <w:pStyle w:val="BodyText"/>
        <w:ind w:left="360" w:hanging="259"/>
      </w:pPr>
      <w:r>
        <w:t xml:space="preserve">• </w:t>
      </w:r>
      <w:r>
        <w:t>Sovereignty — The inherent authority of a tribal nation to govern itself.</w:t>
      </w:r>
    </w:p>
    <w:p>
      <w:pPr>
        <w:pStyle w:val="BodyText"/>
        <w:ind w:left="360" w:hanging="259"/>
      </w:pPr>
      <w:r>
        <w:t xml:space="preserve">• </w:t>
      </w:r>
      <w:r>
        <w:t>Indian Education for All (IEFA) — A Montana framework requiring public schools to teach accurate Indigenous content.</w:t>
      </w:r>
    </w:p>
    <w:p>
      <w:pPr>
        <w:pStyle w:val="BodyText"/>
        <w:ind w:left="360" w:hanging="259"/>
      </w:pPr>
      <w:r>
        <w:t xml:space="preserve">• </w:t>
      </w:r>
      <w:r>
        <w:t>Treaty — A legally binding agreement between sovereign nations.</w:t>
      </w:r>
    </w:p>
    <w:p>
      <w:pPr>
        <w:pStyle w:val="BodyText"/>
        <w:ind w:left="360" w:hanging="259"/>
      </w:pPr>
      <w:r>
        <w:t xml:space="preserve">• </w:t>
      </w:r>
      <w:r>
        <w:t>Assimilation — A policy of forcing Indigenous people to adopt Euro-American culture and give up their own.</w:t>
      </w:r>
    </w:p>
    <w:p>
      <w:pPr>
        <w:pStyle w:val="BodyText"/>
        <w:ind w:left="360" w:hanging="259"/>
      </w:pPr>
      <w:r>
        <w:t xml:space="preserve">• </w:t>
      </w:r>
      <w:r>
        <w:t>Cultural Appropriation — Taking elements of a culture without permission, respect, or understanding.</w:t>
      </w:r>
    </w:p>
    <w:p>
      <w:pPr>
        <w:pStyle w:val="BodyText"/>
        <w:ind w:left="360" w:hanging="259"/>
      </w:pPr>
      <w:r>
        <w:t xml:space="preserve">• </w:t>
      </w:r>
      <w:r>
        <w:t>Oral Tradition — The transmission of knowledge through spoken stories, songs, and ceremonies.</w:t>
      </w:r>
    </w:p>
    <w:p>
      <w:pPr>
        <w:pStyle w:val="BodyText"/>
        <w:ind w:left="360" w:hanging="259"/>
      </w:pPr>
      <w:r>
        <w:t xml:space="preserve">• </w:t>
      </w:r>
      <w:r>
        <w:t>Traditional Knowledge — Knowledge developed by Indigenous peoples over generations about environment, health, agriculture, and other fields.</w:t>
      </w:r>
    </w:p>
    <w:p>
      <w:pPr>
        <w:pStyle w:val="BodyText"/>
        <w:ind w:left="360" w:hanging="259"/>
      </w:pPr>
      <w:r>
        <w:t xml:space="preserve">• </w:t>
      </w:r>
      <w:r>
        <w:t>Intergenerational Trauma — The transmission of trauma from historical atrocities to later generations.</w:t>
      </w:r>
    </w:p>
    <w:p>
      <w:pPr>
        <w:pStyle w:val="BodyText"/>
        <w:ind w:left="360" w:hanging="259"/>
      </w:pPr>
      <w:r>
        <w:t xml:space="preserve">• </w:t>
      </w:r>
      <w:r>
        <w:t>Tribal Consultation — Meaningful engagement with tribes before making decisions that affect them.</w:t>
      </w:r>
    </w:p>
    <w:p>
      <w:pPr>
        <w:pStyle w:val="Heading1"/>
      </w:pPr>
      <w:r>
        <w:t>13. Open Resource List</w:t>
      </w:r>
    </w:p>
    <w:p>
      <w:pPr>
        <w:pStyle w:val="BodyText"/>
      </w:pPr>
      <w:r>
        <w:t>The following types of resources are commonly available for use. Some are in the public domain, some are openly licensed, and others are free to access but still copyrighted. Always check the licensing terms of any specific resource before copying or adapting content.</w:t>
      </w:r>
    </w:p>
    <w:p>
      <w:pPr>
        <w:pStyle w:val="BodyText"/>
      </w:pPr>
      <w:r>
        <w:rPr>
          <w:b/>
        </w:rPr>
        <w:t xml:space="preserve">Tribal websites — </w:t>
      </w:r>
      <w:r>
        <w:t>Most tribes publish accurate, up-to-date information about their history, government, and culture. These materials are often publicly accessible, but reuse rights should be checked before copying or adaptation.</w:t>
      </w:r>
    </w:p>
    <w:p>
      <w:pPr>
        <w:pStyle w:val="BodyText"/>
      </w:pPr>
      <w:r>
        <w:rPr>
          <w:b/>
        </w:rPr>
        <w:t xml:space="preserve">National Indian Education Association (NIEA) — </w:t>
      </w:r>
      <w:r>
        <w:t>Free webinars, lesson plans, and policy briefs; licensing varies by material.</w:t>
      </w:r>
    </w:p>
    <w:p>
      <w:pPr>
        <w:pStyle w:val="BodyText"/>
      </w:pPr>
      <w:r>
        <w:rPr>
          <w:b/>
        </w:rPr>
        <w:t xml:space="preserve">Smithsonian National Museum of the American Indian — </w:t>
      </w:r>
      <w:r>
        <w:t>Online exhibitions, teaching guides, and digital collections with mixed rights status.</w:t>
      </w:r>
    </w:p>
    <w:p>
      <w:pPr>
        <w:pStyle w:val="BodyText"/>
      </w:pPr>
      <w:r>
        <w:rPr>
          <w:b/>
        </w:rPr>
        <w:t xml:space="preserve">Library of Congress Native American collections — </w:t>
      </w:r>
      <w:r>
        <w:t>Primary sources, many of which are in the public domain.</w:t>
      </w:r>
    </w:p>
    <w:p>
      <w:pPr>
        <w:pStyle w:val="BodyText"/>
      </w:pPr>
      <w:r>
        <w:rPr>
          <w:b/>
        </w:rPr>
        <w:t xml:space="preserve">Project Gutenberg — </w:t>
      </w:r>
      <w:r>
        <w:t>Public-domain texts by Indigenous authors such as Charles Eastman and Zitkala-Ša.</w:t>
      </w:r>
    </w:p>
    <w:p>
      <w:pPr>
        <w:pStyle w:val="BodyText"/>
      </w:pPr>
      <w:r>
        <w:rPr>
          <w:b/>
        </w:rPr>
        <w:t xml:space="preserve">Montana Office of Public Instruction IEFA resources — </w:t>
      </w:r>
      <w:r>
        <w:t>Free lesson plans and materials designed for educational use.</w:t>
      </w:r>
    </w:p>
    <w:p>
      <w:pPr>
        <w:pStyle w:val="BodyText"/>
      </w:pPr>
      <w:r>
        <w:rPr>
          <w:b/>
        </w:rPr>
        <w:t xml:space="preserve">Tribal colleges and universities — </w:t>
      </w:r>
      <w:r>
        <w:t>Many offer open-access publications and research, though policies vary.</w:t>
      </w:r>
    </w:p>
    <w:p>
      <w:pPr>
        <w:pStyle w:val="BodyText"/>
      </w:pPr>
      <w:r>
        <w:rPr>
          <w:b/>
        </w:rPr>
        <w:t xml:space="preserve">Oklahoma State University Indigenous Digital Archive — </w:t>
      </w:r>
      <w:r>
        <w:t>Public-domain treaties and documents.</w:t>
      </w:r>
    </w:p>
    <w:p>
      <w:pPr>
        <w:pStyle w:val="BodyText"/>
      </w:pPr>
      <w:r>
        <w:rPr>
          <w:b/>
        </w:rPr>
        <w:t xml:space="preserve">Native Land Digital — </w:t>
      </w:r>
      <w:r>
        <w:t>Interactive mapping resources; check current reuse terms.</w:t>
      </w:r>
    </w:p>
    <w:p>
      <w:pPr>
        <w:pStyle w:val="BodyText"/>
      </w:pPr>
      <w:r>
        <w:rPr>
          <w:b/>
        </w:rPr>
        <w:t xml:space="preserve">IllumiNative — </w:t>
      </w:r>
      <w:r>
        <w:t>Research and resources on contemporary Native representation; free to access but copyrighted.</w:t>
      </w:r>
    </w:p>
    <w:p>
      <w:pPr>
        <w:pStyle w:val="Heading1"/>
      </w:pPr>
      <w:r>
        <w:t>14. Sources and Further Reading</w:t>
      </w:r>
    </w:p>
    <w:p>
      <w:pPr>
        <w:pStyle w:val="BodyText"/>
      </w:pPr>
      <w:r>
        <w:t>The following publicly accessible and openly licensed sources informed this booklet. They are recommended for further study.</w:t>
      </w:r>
    </w:p>
    <w:p>
      <w:pPr>
        <w:pStyle w:val="Heading2"/>
      </w:pPr>
      <w:r>
        <w:t>Public Domain / Openly Licensed</w:t>
      </w:r>
    </w:p>
    <w:p>
      <w:pPr>
        <w:pStyle w:val="BodyText"/>
        <w:ind w:left="360" w:hanging="259"/>
      </w:pPr>
      <w:r>
        <w:t xml:space="preserve">• </w:t>
      </w:r>
      <w:r>
        <w:t>Indian Education for All: Essential Understandings — Montana Office of Public Instruction.</w:t>
      </w:r>
    </w:p>
    <w:p>
      <w:pPr>
        <w:pStyle w:val="BodyText"/>
        <w:ind w:left="360" w:hanging="259"/>
      </w:pPr>
      <w:r>
        <w:t xml:space="preserve">• </w:t>
      </w:r>
      <w:r>
        <w:t>Boarding School Healing Project — National Native American Boarding School Healing Coalition.</w:t>
      </w:r>
    </w:p>
    <w:p>
      <w:pPr>
        <w:pStyle w:val="BodyText"/>
        <w:ind w:left="360" w:hanging="259"/>
      </w:pPr>
      <w:r>
        <w:t xml:space="preserve">• </w:t>
      </w:r>
      <w:r>
        <w:t>Native Knowledge 360° — Smithsonian National Museum of the American Indian.</w:t>
      </w:r>
    </w:p>
    <w:p>
      <w:pPr>
        <w:pStyle w:val="BodyText"/>
        <w:ind w:left="360" w:hanging="259"/>
      </w:pPr>
      <w:r>
        <w:t xml:space="preserve">• </w:t>
      </w:r>
      <w:r>
        <w:t>Treaties Matter — Minnesota Humanities Center.</w:t>
      </w:r>
    </w:p>
    <w:p>
      <w:pPr>
        <w:pStyle w:val="BodyText"/>
        <w:ind w:left="360" w:hanging="259"/>
      </w:pPr>
      <w:r>
        <w:t xml:space="preserve">• </w:t>
      </w:r>
      <w:r>
        <w:t>Traditional Ecological Knowledge materials — U.S. Fish and Wildlife Service.</w:t>
      </w:r>
    </w:p>
    <w:p>
      <w:pPr>
        <w:pStyle w:val="Heading2"/>
      </w:pPr>
      <w:r>
        <w:t>Publicly Accessible for Reading</w:t>
      </w:r>
    </w:p>
    <w:p>
      <w:pPr>
        <w:pStyle w:val="BodyText"/>
        <w:ind w:left="360" w:hanging="259"/>
      </w:pPr>
      <w:r>
        <w:t xml:space="preserve">• </w:t>
      </w:r>
      <w:r>
        <w:t>Learning for Justice articles on decolonizing the classroom.</w:t>
      </w:r>
    </w:p>
    <w:p>
      <w:pPr>
        <w:pStyle w:val="BodyText"/>
        <w:ind w:left="360" w:hanging="259"/>
      </w:pPr>
      <w:r>
        <w:t xml:space="preserve">• </w:t>
      </w:r>
      <w:r>
        <w:t>Culturally Responsive Teaching and the Brain by Zaretta Hammond.</w:t>
      </w:r>
    </w:p>
    <w:p>
      <w:pPr>
        <w:pStyle w:val="BodyText"/>
        <w:ind w:left="360" w:hanging="259"/>
      </w:pPr>
      <w:r>
        <w:t xml:space="preserve">• </w:t>
      </w:r>
      <w:r>
        <w:t>Indian Child Welfare Act resources from the National Indian Law Library.</w:t>
      </w:r>
    </w:p>
    <w:p>
      <w:pPr>
        <w:pStyle w:val="BodyText"/>
      </w:pPr>
      <w:r>
        <w:t>These sources are provided to support further learning. This booklet does not reproduce their copyrighted text.</w:t>
      </w:r>
    </w:p>
    <w:p>
      <w:pPr>
        <w:pStyle w:val="Heading1"/>
      </w:pPr>
      <w:r>
        <w:t>15. One-Page School Self-Assessment Checklist (New)</w:t>
      </w:r>
    </w:p>
    <w:p>
      <w:pPr>
        <w:pStyle w:val="BodyText"/>
      </w:pPr>
      <w:r>
        <w:t>Use this checklist to evaluate a school’s progress toward decolonizing Indigenous education. Mark each item as Not Started, In Progress, or Established.</w:t>
      </w:r>
    </w:p>
    <w:tbl>
      <w:tblPr>
        <w:tblStyle w:val="TableGrid"/>
        <w:tblW w:type="auto" w:w="0"/>
        <w:jc w:val="center"/>
        <w:tblLook w:firstColumn="1" w:firstRow="1" w:lastColumn="0" w:lastRow="0" w:noHBand="0" w:noVBand="1" w:val="04A0"/>
      </w:tblPr>
      <w:tblGrid>
        <w:gridCol w:w="2412"/>
        <w:gridCol w:w="2412"/>
        <w:gridCol w:w="2412"/>
        <w:gridCol w:w="2412"/>
      </w:tblGrid>
      <w:tr>
        <w:trPr>
          <w:tblHeader w:val="true"/>
          <w:cantSplit/>
        </w:trPr>
        <w:tc>
          <w:tcPr>
            <w:tcW w:type="dxa" w:w="1872"/>
            <w:shd w:fill="D9EAF7"/>
            <w:vAlign w:val="center"/>
            <w:tcMar>
              <w:top w:w="90" w:type="dxa"/>
              <w:start w:w="110" w:type="dxa"/>
              <w:bottom w:w="90" w:type="dxa"/>
              <w:end w:w="110" w:type="dxa"/>
            </w:tcMar>
          </w:tcPr>
          <w:p>
            <w:r>
              <w:rPr>
                <w:b/>
              </w:rPr>
              <w:t>Area</w:t>
            </w:r>
          </w:p>
        </w:tc>
        <w:tc>
          <w:tcPr>
            <w:tcW w:type="dxa" w:w="5184"/>
            <w:shd w:fill="D9EAF7"/>
            <w:vAlign w:val="center"/>
            <w:tcMar>
              <w:top w:w="90" w:type="dxa"/>
              <w:start w:w="110" w:type="dxa"/>
              <w:bottom w:w="90" w:type="dxa"/>
              <w:end w:w="110" w:type="dxa"/>
            </w:tcMar>
          </w:tcPr>
          <w:p>
            <w:r>
              <w:rPr>
                <w:b/>
              </w:rPr>
              <w:t>Checklist Item</w:t>
            </w:r>
          </w:p>
        </w:tc>
        <w:tc>
          <w:tcPr>
            <w:tcW w:type="dxa" w:w="1440"/>
            <w:shd w:fill="D9EAF7"/>
            <w:vAlign w:val="center"/>
            <w:tcMar>
              <w:top w:w="90" w:type="dxa"/>
              <w:start w:w="110" w:type="dxa"/>
              <w:bottom w:w="90" w:type="dxa"/>
              <w:end w:w="110" w:type="dxa"/>
            </w:tcMar>
          </w:tcPr>
          <w:p>
            <w:r>
              <w:rPr>
                <w:b/>
              </w:rPr>
              <w:t>Status</w:t>
            </w:r>
          </w:p>
        </w:tc>
        <w:tc>
          <w:tcPr>
            <w:tcW w:type="dxa" w:w="1872"/>
            <w:shd w:fill="D9EAF7"/>
            <w:vAlign w:val="center"/>
            <w:tcMar>
              <w:top w:w="90" w:type="dxa"/>
              <w:start w:w="110" w:type="dxa"/>
              <w:bottom w:w="90" w:type="dxa"/>
              <w:end w:w="110" w:type="dxa"/>
            </w:tcMar>
          </w:tcPr>
          <w:p>
            <w:r>
              <w:rPr>
                <w:b/>
              </w:rPr>
              <w:t>Notes</w:t>
            </w:r>
          </w:p>
        </w:tc>
      </w:tr>
      <w:tr>
        <w:trPr>
          <w:cantSplit/>
        </w:trPr>
        <w:tc>
          <w:tcPr>
            <w:tcW w:type="dxa" w:w="1872"/>
            <w:vAlign w:val="center"/>
            <w:tcMar>
              <w:top w:w="100" w:type="dxa"/>
              <w:start w:w="110" w:type="dxa"/>
              <w:bottom w:w="100" w:type="dxa"/>
              <w:end w:w="110" w:type="dxa"/>
            </w:tcMar>
          </w:tcPr>
          <w:p>
            <w:r>
              <w:t>Curriculum</w:t>
            </w:r>
          </w:p>
        </w:tc>
        <w:tc>
          <w:tcPr>
            <w:tcW w:type="dxa" w:w="5184"/>
            <w:vAlign w:val="center"/>
            <w:tcMar>
              <w:top w:w="100" w:type="dxa"/>
              <w:start w:w="110" w:type="dxa"/>
              <w:bottom w:w="100" w:type="dxa"/>
              <w:end w:w="110" w:type="dxa"/>
            </w:tcMar>
          </w:tcPr>
          <w:p>
            <w:r>
              <w:t>Indigenous content is taught throughout the year, not only in one unit or one month.</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Curriculum</w:t>
            </w:r>
          </w:p>
        </w:tc>
        <w:tc>
          <w:tcPr>
            <w:tcW w:type="dxa" w:w="5184"/>
            <w:vAlign w:val="center"/>
            <w:tcMar>
              <w:top w:w="100" w:type="dxa"/>
              <w:start w:w="110" w:type="dxa"/>
              <w:bottom w:w="100" w:type="dxa"/>
              <w:end w:w="110" w:type="dxa"/>
            </w:tcMar>
          </w:tcPr>
          <w:p>
            <w:r>
              <w:t>Lessons include contemporary Indigenous peoples, not only historical material.</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Curriculum</w:t>
            </w:r>
          </w:p>
        </w:tc>
        <w:tc>
          <w:tcPr>
            <w:tcW w:type="dxa" w:w="5184"/>
            <w:vAlign w:val="center"/>
            <w:tcMar>
              <w:top w:w="100" w:type="dxa"/>
              <w:start w:w="110" w:type="dxa"/>
              <w:bottom w:w="100" w:type="dxa"/>
              <w:end w:w="110" w:type="dxa"/>
            </w:tcMar>
          </w:tcPr>
          <w:p>
            <w:r>
              <w:t>At least one Indigenous author is included in English/language arts each year.</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Curriculum</w:t>
            </w:r>
          </w:p>
        </w:tc>
        <w:tc>
          <w:tcPr>
            <w:tcW w:type="dxa" w:w="5184"/>
            <w:vAlign w:val="center"/>
            <w:tcMar>
              <w:top w:w="100" w:type="dxa"/>
              <w:start w:w="110" w:type="dxa"/>
              <w:bottom w:w="100" w:type="dxa"/>
              <w:end w:w="110" w:type="dxa"/>
            </w:tcMar>
          </w:tcPr>
          <w:p>
            <w:r>
              <w:t>Science or social studies units incorporate Indigenous knowledge where appropriate.</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Curriculum</w:t>
            </w:r>
          </w:p>
        </w:tc>
        <w:tc>
          <w:tcPr>
            <w:tcW w:type="dxa" w:w="5184"/>
            <w:vAlign w:val="center"/>
            <w:tcMar>
              <w:top w:w="100" w:type="dxa"/>
              <w:start w:w="110" w:type="dxa"/>
              <w:bottom w:w="100" w:type="dxa"/>
              <w:end w:w="110" w:type="dxa"/>
            </w:tcMar>
          </w:tcPr>
          <w:p>
            <w:r>
              <w:t>Tribal sovereignty is taught as a core concept in civics or government classes.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Teacher Preparation</w:t>
            </w:r>
          </w:p>
        </w:tc>
        <w:tc>
          <w:tcPr>
            <w:tcW w:type="dxa" w:w="5184"/>
            <w:vAlign w:val="center"/>
            <w:tcMar>
              <w:top w:w="100" w:type="dxa"/>
              <w:start w:w="110" w:type="dxa"/>
              <w:bottom w:w="100" w:type="dxa"/>
              <w:end w:w="110" w:type="dxa"/>
            </w:tcMar>
          </w:tcPr>
          <w:p>
            <w:r>
              <w:t>All teachers receive basic training on Indigenous history and culture in the region.</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Teacher Preparation</w:t>
            </w:r>
          </w:p>
        </w:tc>
        <w:tc>
          <w:tcPr>
            <w:tcW w:type="dxa" w:w="5184"/>
            <w:vAlign w:val="center"/>
            <w:tcMar>
              <w:top w:w="100" w:type="dxa"/>
              <w:start w:w="110" w:type="dxa"/>
              <w:bottom w:w="100" w:type="dxa"/>
              <w:end w:w="110" w:type="dxa"/>
            </w:tcMar>
          </w:tcPr>
          <w:p>
            <w:r>
              <w:t>Professional development on IEFA or a similar framework is offered annually.</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Teacher Preparation</w:t>
            </w:r>
          </w:p>
        </w:tc>
        <w:tc>
          <w:tcPr>
            <w:tcW w:type="dxa" w:w="5184"/>
            <w:vAlign w:val="center"/>
            <w:tcMar>
              <w:top w:w="100" w:type="dxa"/>
              <w:start w:w="110" w:type="dxa"/>
              <w:bottom w:w="100" w:type="dxa"/>
              <w:end w:w="110" w:type="dxa"/>
            </w:tcMar>
          </w:tcPr>
          <w:p>
            <w:r>
              <w:t>New teachers receive a land acknowledgment orientation.</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Teacher Preparation</w:t>
            </w:r>
          </w:p>
        </w:tc>
        <w:tc>
          <w:tcPr>
            <w:tcW w:type="dxa" w:w="5184"/>
            <w:vAlign w:val="center"/>
            <w:tcMar>
              <w:top w:w="100" w:type="dxa"/>
              <w:start w:w="110" w:type="dxa"/>
              <w:bottom w:w="100" w:type="dxa"/>
              <w:end w:w="110" w:type="dxa"/>
            </w:tcMar>
          </w:tcPr>
          <w:p>
            <w:r>
              <w:t>Teachers have access to vetted, age-appropriate Indigenous resources.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School Climate</w:t>
            </w:r>
          </w:p>
        </w:tc>
        <w:tc>
          <w:tcPr>
            <w:tcW w:type="dxa" w:w="5184"/>
            <w:vAlign w:val="center"/>
            <w:tcMar>
              <w:top w:w="100" w:type="dxa"/>
              <w:start w:w="110" w:type="dxa"/>
              <w:bottom w:w="100" w:type="dxa"/>
              <w:end w:w="110" w:type="dxa"/>
            </w:tcMar>
          </w:tcPr>
          <w:p>
            <w:r>
              <w:t>The school avoids Indigenous mascots and stereotypical imagery.</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School Climate</w:t>
            </w:r>
          </w:p>
        </w:tc>
        <w:tc>
          <w:tcPr>
            <w:tcW w:type="dxa" w:w="5184"/>
            <w:vAlign w:val="center"/>
            <w:tcMar>
              <w:top w:w="100" w:type="dxa"/>
              <w:start w:w="110" w:type="dxa"/>
              <w:bottom w:w="100" w:type="dxa"/>
              <w:end w:w="110" w:type="dxa"/>
            </w:tcMar>
          </w:tcPr>
          <w:p>
            <w:r>
              <w:t>Native American Heritage Month is observed respectfully with Indigenous voices leading.</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School Climate</w:t>
            </w:r>
          </w:p>
        </w:tc>
        <w:tc>
          <w:tcPr>
            <w:tcW w:type="dxa" w:w="5184"/>
            <w:vAlign w:val="center"/>
            <w:tcMar>
              <w:top w:w="100" w:type="dxa"/>
              <w:start w:w="110" w:type="dxa"/>
              <w:bottom w:w="100" w:type="dxa"/>
              <w:end w:w="110" w:type="dxa"/>
            </w:tcMar>
          </w:tcPr>
          <w:p>
            <w:r>
              <w:t>The school library includes books by Indigenous authors for all grade levels.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Partnership</w:t>
            </w:r>
          </w:p>
        </w:tc>
        <w:tc>
          <w:tcPr>
            <w:tcW w:type="dxa" w:w="5184"/>
            <w:vAlign w:val="center"/>
            <w:tcMar>
              <w:top w:w="100" w:type="dxa"/>
              <w:start w:w="110" w:type="dxa"/>
              <w:bottom w:w="100" w:type="dxa"/>
              <w:end w:w="110" w:type="dxa"/>
            </w:tcMar>
          </w:tcPr>
          <w:p>
            <w:r>
              <w:t>The school has identified the tribes whose traditional territory it occupies.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Partnership</w:t>
            </w:r>
          </w:p>
        </w:tc>
        <w:tc>
          <w:tcPr>
            <w:tcW w:type="dxa" w:w="5184"/>
            <w:vAlign w:val="center"/>
            <w:tcMar>
              <w:top w:w="100" w:type="dxa"/>
              <w:start w:w="110" w:type="dxa"/>
              <w:bottom w:w="100" w:type="dxa"/>
              <w:end w:w="110" w:type="dxa"/>
            </w:tcMar>
          </w:tcPr>
          <w:p>
            <w:r>
              <w:t>The school has made formal contact with tribal education leaders or tribal councils.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Partnership</w:t>
            </w:r>
          </w:p>
        </w:tc>
        <w:tc>
          <w:tcPr>
            <w:tcW w:type="dxa" w:w="5184"/>
            <w:vAlign w:val="center"/>
            <w:tcMar>
              <w:top w:w="100" w:type="dxa"/>
              <w:start w:w="110" w:type="dxa"/>
              <w:bottom w:w="100" w:type="dxa"/>
              <w:end w:w="110" w:type="dxa"/>
            </w:tcMar>
          </w:tcPr>
          <w:p>
            <w:r>
              <w:t>The school compensates Indigenous guest speakers and elders.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Partnership</w:t>
            </w:r>
          </w:p>
        </w:tc>
        <w:tc>
          <w:tcPr>
            <w:tcW w:type="dxa" w:w="5184"/>
            <w:vAlign w:val="center"/>
            <w:tcMar>
              <w:top w:w="100" w:type="dxa"/>
              <w:start w:w="110" w:type="dxa"/>
              <w:bottom w:w="100" w:type="dxa"/>
              <w:end w:w="110" w:type="dxa"/>
            </w:tcMar>
          </w:tcPr>
          <w:p>
            <w:r>
              <w:t>The school hosts at least one joint event with the tribal community each year.</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Student Support</w:t>
            </w:r>
          </w:p>
        </w:tc>
        <w:tc>
          <w:tcPr>
            <w:tcW w:type="dxa" w:w="5184"/>
            <w:vAlign w:val="center"/>
            <w:tcMar>
              <w:top w:w="100" w:type="dxa"/>
              <w:start w:w="110" w:type="dxa"/>
              <w:bottom w:w="100" w:type="dxa"/>
              <w:end w:w="110" w:type="dxa"/>
            </w:tcMar>
          </w:tcPr>
          <w:p>
            <w:r>
              <w:t>The school tracks Indigenous student outcomes where legally permitted.</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Student Support</w:t>
            </w:r>
          </w:p>
        </w:tc>
        <w:tc>
          <w:tcPr>
            <w:tcW w:type="dxa" w:w="5184"/>
            <w:vAlign w:val="center"/>
            <w:tcMar>
              <w:top w:w="100" w:type="dxa"/>
              <w:start w:w="110" w:type="dxa"/>
              <w:bottom w:w="100" w:type="dxa"/>
              <w:end w:w="110" w:type="dxa"/>
            </w:tcMar>
          </w:tcPr>
          <w:p>
            <w:r>
              <w:t>There is a designated staff person responsible for Indigenous student support.</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Student Support</w:t>
            </w:r>
          </w:p>
        </w:tc>
        <w:tc>
          <w:tcPr>
            <w:tcW w:type="dxa" w:w="5184"/>
            <w:vAlign w:val="center"/>
            <w:tcMar>
              <w:top w:w="100" w:type="dxa"/>
              <w:start w:w="110" w:type="dxa"/>
              <w:bottom w:w="100" w:type="dxa"/>
              <w:end w:w="110" w:type="dxa"/>
            </w:tcMar>
          </w:tcPr>
          <w:p>
            <w:r>
              <w:t>Indigenous students have access to language instruction or cultural programming.</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r>
        <w:trPr>
          <w:cantSplit/>
        </w:trPr>
        <w:tc>
          <w:tcPr>
            <w:tcW w:type="dxa" w:w="1872"/>
            <w:vAlign w:val="center"/>
            <w:tcMar>
              <w:top w:w="100" w:type="dxa"/>
              <w:start w:w="110" w:type="dxa"/>
              <w:bottom w:w="100" w:type="dxa"/>
              <w:end w:w="110" w:type="dxa"/>
            </w:tcMar>
          </w:tcPr>
          <w:p>
            <w:r>
              <w:t>Student Support</w:t>
            </w:r>
          </w:p>
        </w:tc>
        <w:tc>
          <w:tcPr>
            <w:tcW w:type="dxa" w:w="5184"/>
            <w:vAlign w:val="center"/>
            <w:tcMar>
              <w:top w:w="100" w:type="dxa"/>
              <w:start w:w="110" w:type="dxa"/>
              <w:bottom w:w="100" w:type="dxa"/>
              <w:end w:w="110" w:type="dxa"/>
            </w:tcMar>
          </w:tcPr>
          <w:p>
            <w:r>
              <w:t>The school has a process for responding to bias incidents against Indigenous students.</w:t>
            </w:r>
          </w:p>
        </w:tc>
        <w:tc>
          <w:tcPr>
            <w:tcW w:type="dxa" w:w="1440"/>
            <w:vAlign w:val="center"/>
            <w:tcMar>
              <w:top w:w="100" w:type="dxa"/>
              <w:start w:w="110" w:type="dxa"/>
              <w:bottom w:w="100" w:type="dxa"/>
              <w:end w:w="110" w:type="dxa"/>
            </w:tcMar>
          </w:tcPr>
          <w:p>
            <w:r>
              <w:t>☐ NS  ☐ IP  ☐ E</w:t>
            </w:r>
          </w:p>
        </w:tc>
        <w:tc>
          <w:tcPr>
            <w:tcW w:type="dxa" w:w="1872"/>
            <w:vAlign w:val="center"/>
            <w:tcMar>
              <w:top w:w="100" w:type="dxa"/>
              <w:start w:w="110" w:type="dxa"/>
              <w:bottom w:w="100" w:type="dxa"/>
              <w:end w:w="110" w:type="dxa"/>
            </w:tcMar>
          </w:tcPr>
          <w:p>
            <w:r/>
          </w:p>
        </w:tc>
      </w:tr>
    </w:tbl>
    <w:p>
      <w:pPr>
        <w:pStyle w:val="BodyText"/>
      </w:pPr>
      <w:r>
        <w:t>Next Steps: Choose three items marked “Not Started” and create an action plan for the coming semester.</w:t>
      </w:r>
    </w:p>
    <w:p>
      <w:pPr>
        <w:pStyle w:val="Heading1"/>
      </w:pPr>
      <w:r>
        <w:t>16. Leading Questions for Study and Discussion (Compiled)</w:t>
      </w:r>
    </w:p>
    <w:p>
      <w:pPr>
        <w:pStyle w:val="BodyText"/>
      </w:pPr>
      <w:r>
        <w:t>For each chapter, consider these questions as a class, in small groups, or in reflective writing.</w:t>
      </w:r>
    </w:p>
    <w:p>
      <w:pPr>
        <w:pStyle w:val="Heading2"/>
      </w:pPr>
      <w:r>
        <w:t>Compiled Discussion Questions</w:t>
      </w:r>
    </w:p>
    <w:p>
      <w:pPr>
        <w:pStyle w:val="QuestionList"/>
      </w:pPr>
      <w:r>
        <w:t>1. What is the main idea of this chapter?</w:t>
      </w:r>
    </w:p>
    <w:p>
      <w:pPr>
        <w:pStyle w:val="QuestionList"/>
      </w:pPr>
      <w:r>
        <w:t>2. Why does this matter for students and schools?</w:t>
      </w:r>
    </w:p>
    <w:p>
      <w:pPr>
        <w:pStyle w:val="QuestionList"/>
      </w:pPr>
      <w:r>
        <w:t>3. What assumptions are being challenged?</w:t>
      </w:r>
    </w:p>
    <w:p>
      <w:pPr>
        <w:pStyle w:val="QuestionList"/>
      </w:pPr>
      <w:r>
        <w:t>4. What practical action can teachers or schools take?</w:t>
      </w:r>
    </w:p>
    <w:p>
      <w:pPr>
        <w:pStyle w:val="QuestionList"/>
      </w:pPr>
      <w:r>
        <w:t>5. What further questions should the reader ask?</w:t>
      </w:r>
    </w:p>
    <w:p>
      <w:pPr>
        <w:pStyle w:val="Heading1"/>
      </w:pPr>
      <w:r>
        <w:t>17. Conclusion</w:t>
      </w:r>
    </w:p>
    <w:p>
      <w:pPr>
        <w:pStyle w:val="BodyText"/>
      </w:pPr>
      <w:r>
        <w:t>“Indian for All” is not a program you buy or a checklist you complete. It is a commitment to seeing Indigenous peoples as fully present, fully sovereign, and fully deserving of a place in every classroom. It is a commitment to truth, even when that truth is uncomfortable. And it is a commitment to the future — one where all students graduate with a more honest, respectful, and complete understanding of the land they live on and the peoples who have always cared for it.</w:t>
      </w:r>
    </w:p>
    <w:p>
      <w:pPr>
        <w:pStyle w:val="BodyText"/>
      </w:pPr>
      <w:r>
        <w:t>This booklet is only a beginning. The real work happens in lesson planning meetings, in conversations with tribal partners, in school board hearings, and in the daily choices of teachers and students. Let that work begin.</w:t>
      </w:r>
    </w:p>
    <w:sectPr w:rsidR="00FC693F" w:rsidRPr="0006063C" w:rsidSect="00034616">
      <w:footerReference w:type="default" r:id="rId9"/>
      <w:pgSz w:w="12240" w:h="15840"/>
      <w:pgMar w:top="1152"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rPr>
      <w:t>Indian for All • v1.1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w:hAnsi="Aptos" w:eastAsia="Aptos"/>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eastAsia="Aptos"/>
      <w:b/>
      <w:bCs/>
      <w:color w:val="3F3F3F"/>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eastAsia="Aptos"/>
      <w:b/>
      <w:bCs/>
      <w:color w:val="5F5F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eastAsia="Aptos"/>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595959"/>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rPr>
      <w:rFonts w:ascii="Aptos" w:hAnsi="Aptos" w:eastAsia="Aptos"/>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List">
    <w:name w:val="Question List"/>
    <w:basedOn w:val="Normal"/>
    <w:pPr>
      <w:spacing w:after="60" w:line="252" w:lineRule="auto"/>
      <w:ind w:left="259" w:hanging="259"/>
    </w:pPr>
    <w:rPr>
      <w:rFonts w:ascii="Aptos" w:hAnsi="Aptos" w:eastAsia="Aptos"/>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for All: Decolonizing Indigenous Education in Public Schools</dc:title>
  <dc:subject>Open educational booklet on Indigenous education and IEFA</dc:subject>
  <dc:creator>Steven Bullcoming Haworth</dc:creator>
  <cp:keywords/>
  <dc:description>Version 1.0 (2026). Collaborator: Corry Bullcoming.</dc:description>
  <cp:lastModifiedBy/>
  <cp:revision>1</cp:revision>
  <dcterms:created xsi:type="dcterms:W3CDTF">2013-12-23T23:15:00Z</dcterms:created>
  <dcterms:modified xsi:type="dcterms:W3CDTF">2013-12-23T23:15:00Z</dcterms:modified>
  <cp:category/>
</cp:coreProperties>
</file>